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C04F7" w14:textId="0A9F4DBD" w:rsidR="00814396" w:rsidRDefault="00814396" w:rsidP="00814396">
      <w:pPr>
        <w:pStyle w:val="NoSpacing"/>
        <w:rPr>
          <w:rFonts w:cs="Arial"/>
        </w:rPr>
      </w:pPr>
      <w:r>
        <w:rPr>
          <w:rFonts w:cs="Arial"/>
          <w:sz w:val="24"/>
          <w:szCs w:val="24"/>
        </w:rPr>
        <w:t>3GPP TSG-RAN WG3 #11</w:t>
      </w:r>
      <w:r>
        <w:rPr>
          <w:rFonts w:eastAsia="SimSun" w:cs="Arial" w:hint="eastAsia"/>
          <w:sz w:val="24"/>
          <w:szCs w:val="24"/>
        </w:rPr>
        <w:t>4</w:t>
      </w:r>
      <w:r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D108F2">
        <w:rPr>
          <w:rFonts w:cs="Arial"/>
          <w:sz w:val="24"/>
          <w:szCs w:val="24"/>
        </w:rPr>
        <w:t xml:space="preserve">              </w:t>
      </w:r>
      <w:r w:rsidR="00D108F2" w:rsidRPr="00D108F2">
        <w:rPr>
          <w:rFonts w:cs="Arial"/>
          <w:iCs/>
          <w:sz w:val="24"/>
          <w:szCs w:val="24"/>
        </w:rPr>
        <w:t>R3-21549</w:t>
      </w:r>
      <w:r w:rsidR="00D108F2">
        <w:rPr>
          <w:rFonts w:cs="Arial"/>
          <w:iCs/>
          <w:sz w:val="24"/>
          <w:szCs w:val="24"/>
        </w:rPr>
        <w:t>6</w:t>
      </w:r>
    </w:p>
    <w:p w14:paraId="1C6745A9" w14:textId="77777777" w:rsidR="00814396" w:rsidRDefault="00814396" w:rsidP="00814396">
      <w:pPr>
        <w:overflowPunct w:val="0"/>
        <w:autoSpaceDE w:val="0"/>
        <w:textAlignment w:val="baseline"/>
        <w:rPr>
          <w:rFonts w:eastAsia="Batang" w:cs="Arial"/>
          <w:color w:val="000000"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1-</w:t>
      </w:r>
      <w:r>
        <w:rPr>
          <w:rFonts w:cs="Arial" w:hint="eastAsia"/>
          <w:color w:val="000000"/>
          <w:sz w:val="24"/>
          <w:szCs w:val="24"/>
        </w:rPr>
        <w:t>11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Nov</w:t>
      </w:r>
      <w:r>
        <w:rPr>
          <w:rFonts w:eastAsia="Batang" w:cs="Arial"/>
          <w:color w:val="000000"/>
          <w:sz w:val="24"/>
          <w:szCs w:val="24"/>
        </w:rPr>
        <w:t xml:space="preserve"> 2021</w:t>
      </w:r>
      <w:bookmarkStart w:id="0" w:name="_GoBack"/>
      <w:bookmarkEnd w:id="0"/>
    </w:p>
    <w:p w14:paraId="40E81446" w14:textId="77777777" w:rsidR="00814396" w:rsidRDefault="00814396" w:rsidP="00814396">
      <w:pPr>
        <w:overflowPunct w:val="0"/>
        <w:autoSpaceDE w:val="0"/>
        <w:textAlignment w:val="baseline"/>
        <w:rPr>
          <w:rFonts w:eastAsia="Batang" w:cs="Arial"/>
          <w:color w:val="000000"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Online</w:t>
      </w:r>
    </w:p>
    <w:p w14:paraId="1626CC63" w14:textId="77777777" w:rsidR="00870902" w:rsidRPr="00870902" w:rsidRDefault="00870902" w:rsidP="00870902">
      <w:pPr>
        <w:tabs>
          <w:tab w:val="center" w:pos="4536"/>
          <w:tab w:val="right" w:pos="9072"/>
        </w:tabs>
        <w:spacing w:before="0" w:after="0"/>
        <w:jc w:val="left"/>
        <w:rPr>
          <w:rFonts w:eastAsia="MS Mincho" w:cs="Arial"/>
          <w:b/>
          <w:bCs/>
          <w:sz w:val="28"/>
          <w:szCs w:val="24"/>
          <w:lang w:val="en-GB" w:eastAsia="ja-JP"/>
        </w:rPr>
      </w:pPr>
    </w:p>
    <w:p w14:paraId="75FC9692" w14:textId="2E9D37F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490285">
        <w:rPr>
          <w:b/>
          <w:sz w:val="24"/>
          <w:szCs w:val="24"/>
        </w:rPr>
        <w:t>13</w:t>
      </w:r>
      <w:r w:rsidR="006C1C85">
        <w:rPr>
          <w:b/>
          <w:sz w:val="24"/>
          <w:szCs w:val="24"/>
        </w:rPr>
        <w:t>.</w:t>
      </w:r>
      <w:r w:rsidR="00490285">
        <w:rPr>
          <w:b/>
          <w:sz w:val="24"/>
          <w:szCs w:val="24"/>
        </w:rPr>
        <w:t>4</w:t>
      </w:r>
      <w:r w:rsidR="006C1C85">
        <w:rPr>
          <w:b/>
          <w:sz w:val="24"/>
          <w:szCs w:val="24"/>
        </w:rPr>
        <w:t>.</w:t>
      </w:r>
      <w:r w:rsidR="00F519FE">
        <w:rPr>
          <w:b/>
          <w:sz w:val="24"/>
          <w:szCs w:val="24"/>
        </w:rPr>
        <w:t>1</w:t>
      </w:r>
    </w:p>
    <w:p w14:paraId="7629665B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D48B310" w14:textId="77777777" w:rsidR="00C724F1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6C1C85" w:rsidRPr="006C1C85">
        <w:rPr>
          <w:b/>
          <w:sz w:val="24"/>
          <w:szCs w:val="24"/>
        </w:rPr>
        <w:t xml:space="preserve">Enhancements for IAB </w:t>
      </w:r>
      <w:r w:rsidR="006C3240">
        <w:rPr>
          <w:b/>
          <w:sz w:val="24"/>
          <w:szCs w:val="24"/>
        </w:rPr>
        <w:t>resource multiplexing</w:t>
      </w:r>
    </w:p>
    <w:p w14:paraId="590A25F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755FFEB9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7EBBF8AA" w14:textId="77777777" w:rsidR="00EE2068" w:rsidRPr="00F35704" w:rsidRDefault="00C724F1" w:rsidP="00504E73">
      <w:pPr>
        <w:rPr>
          <w:rFonts w:ascii="Calibri" w:eastAsia="Malgun Gothic" w:hAnsi="Calibri" w:cs="Batang"/>
          <w:lang w:val="en-GB" w:eastAsia="ko-KR"/>
        </w:rPr>
      </w:pPr>
      <w:r w:rsidRPr="00C724F1">
        <w:rPr>
          <w:rFonts w:ascii="Calibri" w:eastAsia="Malgun Gothic" w:hAnsi="Calibri" w:cs="Batang"/>
          <w:lang w:val="en-GB" w:eastAsia="ko-KR"/>
        </w:rPr>
        <w:t xml:space="preserve">As part of the </w:t>
      </w:r>
      <w:r w:rsidR="00504E73">
        <w:rPr>
          <w:rFonts w:ascii="Calibri" w:eastAsia="Malgun Gothic" w:hAnsi="Calibri" w:cs="Batang"/>
          <w:lang w:val="en-GB" w:eastAsia="ko-KR"/>
        </w:rPr>
        <w:t>Rel-17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Enhancements for</w:t>
      </w:r>
      <w:r w:rsidRPr="00C724F1">
        <w:rPr>
          <w:rFonts w:ascii="Calibri" w:eastAsia="Malgun Gothic" w:hAnsi="Calibri" w:cs="Batang"/>
          <w:lang w:val="en-GB" w:eastAsia="ko-KR"/>
        </w:rPr>
        <w:t xml:space="preserve"> Integrated Access and Backhaul for NR [1], 3GPP has agreed to </w:t>
      </w:r>
      <w:r w:rsidR="00504E73">
        <w:rPr>
          <w:rFonts w:ascii="Calibri" w:eastAsia="Malgun Gothic" w:hAnsi="Calibri" w:cs="Batang"/>
          <w:lang w:val="en-GB" w:eastAsia="ko-KR"/>
        </w:rPr>
        <w:t>the following RAN1 led objectives:</w:t>
      </w:r>
    </w:p>
    <w:p w14:paraId="0C3F7C89" w14:textId="77777777" w:rsidR="00504E73" w:rsidRPr="00D54EF9" w:rsidRDefault="00504E73" w:rsidP="00504E73">
      <w:pPr>
        <w:rPr>
          <w:bCs/>
          <w:sz w:val="18"/>
          <w:szCs w:val="18"/>
        </w:rPr>
      </w:pPr>
      <w:r w:rsidRPr="00D54EF9">
        <w:rPr>
          <w:bCs/>
          <w:sz w:val="18"/>
          <w:szCs w:val="18"/>
        </w:rPr>
        <w:t>Duplexing enhancements [RAN1-led, RAN2, RAN3, RAN4]:</w:t>
      </w:r>
    </w:p>
    <w:p w14:paraId="7A994119" w14:textId="77777777" w:rsidR="00504E73" w:rsidRPr="00D54EF9" w:rsidRDefault="00504E73" w:rsidP="007B0F07">
      <w:pPr>
        <w:pStyle w:val="ListParagraph"/>
        <w:numPr>
          <w:ilvl w:val="0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the resource multiplexing between child and parent links of an IAB node, including:</w:t>
      </w:r>
    </w:p>
    <w:p w14:paraId="64635829" w14:textId="77777777" w:rsidR="00504E73" w:rsidRPr="00D54EF9" w:rsidRDefault="00504E73" w:rsidP="007B0F07">
      <w:pPr>
        <w:pStyle w:val="ListParagraph"/>
        <w:numPr>
          <w:ilvl w:val="1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bookmarkStart w:id="3" w:name="_Hlk26193173"/>
      <w:r w:rsidRPr="00D54EF9">
        <w:rPr>
          <w:sz w:val="18"/>
          <w:szCs w:val="18"/>
        </w:rPr>
        <w:t>Support of simultaneous operation (transmission and/or reception) of IAB-node’s child and parent links (i.e., MT Tx/DU Tx, MT Tx/DU Rx, MT Rx/DU Tx, MT Rx/DU Rx).</w:t>
      </w:r>
    </w:p>
    <w:p w14:paraId="523A154E" w14:textId="77777777" w:rsidR="00504E73" w:rsidRPr="00D54EF9" w:rsidRDefault="00504E73" w:rsidP="007B0F07">
      <w:pPr>
        <w:pStyle w:val="ListParagraph"/>
        <w:numPr>
          <w:ilvl w:val="1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Support for dual-connectivity scenarios defined by RAN2/RAN3 in the context of topology redundancy for improved robustness and load balancing.</w:t>
      </w:r>
    </w:p>
    <w:bookmarkEnd w:id="3"/>
    <w:p w14:paraId="19502735" w14:textId="77777777" w:rsidR="00504E73" w:rsidRPr="00D54EF9" w:rsidRDefault="00504E73" w:rsidP="007B0F07">
      <w:pPr>
        <w:pStyle w:val="ListParagraph"/>
        <w:numPr>
          <w:ilvl w:val="0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32FCD5E0" w14:textId="09791A57" w:rsidR="00C724F1" w:rsidRPr="00C724F1" w:rsidRDefault="00C724F1" w:rsidP="00EE2068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 w:rsidR="00490285">
        <w:rPr>
          <w:rFonts w:ascii="Calibri" w:hAnsi="Calibri"/>
        </w:rPr>
        <w:t>signalling</w:t>
      </w:r>
      <w:r>
        <w:rPr>
          <w:rFonts w:ascii="Calibri" w:hAnsi="Calibri"/>
        </w:rPr>
        <w:t xml:space="preserve"> enhancements </w:t>
      </w:r>
      <w:r w:rsidR="00504E73">
        <w:rPr>
          <w:rFonts w:ascii="Calibri" w:hAnsi="Calibri"/>
        </w:rPr>
        <w:t>to support simultaneous operation of child and parent links</w:t>
      </w:r>
      <w:r>
        <w:rPr>
          <w:rFonts w:ascii="Calibri" w:hAnsi="Calibri"/>
        </w:rPr>
        <w:t xml:space="preserve"> including aspects impacting </w:t>
      </w:r>
      <w:r w:rsidR="006C3240">
        <w:rPr>
          <w:rFonts w:ascii="Calibri" w:hAnsi="Calibri"/>
        </w:rPr>
        <w:t>resource allocation for IAB nodes</w:t>
      </w:r>
      <w:r w:rsidRPr="00C724F1">
        <w:rPr>
          <w:rFonts w:ascii="Calibri" w:hAnsi="Calibri"/>
        </w:rPr>
        <w:t>.</w:t>
      </w:r>
    </w:p>
    <w:p w14:paraId="28A5C001" w14:textId="77777777" w:rsidR="00346605" w:rsidRPr="00172743" w:rsidRDefault="006C3240" w:rsidP="00326FF6">
      <w:pPr>
        <w:pStyle w:val="Heading1"/>
      </w:pPr>
      <w:r>
        <w:t>Resource Multiplexing</w:t>
      </w:r>
      <w:r w:rsidR="00C724F1">
        <w:t xml:space="preserve"> Enhancements for IAB</w:t>
      </w:r>
    </w:p>
    <w:p w14:paraId="79C3A0BB" w14:textId="77777777" w:rsidR="00FD791D" w:rsidRDefault="003C20FC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During Rel-16,</w:t>
      </w:r>
      <w:r w:rsidR="00BB5132">
        <w:rPr>
          <w:rFonts w:ascii="Calibri" w:hAnsi="Calibri"/>
        </w:rPr>
        <w:t xml:space="preserve"> for in-band operation </w:t>
      </w:r>
      <w:r w:rsidR="00FD791D">
        <w:rPr>
          <w:rFonts w:ascii="Calibri" w:hAnsi="Calibri"/>
        </w:rPr>
        <w:t>IAB</w:t>
      </w:r>
      <w:r w:rsidR="00FD791D" w:rsidRPr="00BA6FDB">
        <w:rPr>
          <w:rFonts w:ascii="Calibri" w:hAnsi="Calibri"/>
        </w:rPr>
        <w:t xml:space="preserve"> nodes</w:t>
      </w:r>
      <w:r w:rsidR="00BB5132">
        <w:rPr>
          <w:rFonts w:ascii="Calibri" w:hAnsi="Calibri"/>
        </w:rPr>
        <w:t xml:space="preserve"> are assumed to operate with a half-duplex constraint as shown in Figure </w:t>
      </w:r>
      <w:r>
        <w:rPr>
          <w:rFonts w:ascii="Calibri" w:hAnsi="Calibri"/>
        </w:rPr>
        <w:t>1</w:t>
      </w:r>
      <w:r w:rsidR="00BB5132">
        <w:rPr>
          <w:rFonts w:ascii="Calibri" w:hAnsi="Calibri"/>
        </w:rPr>
        <w:t>, which means they can only do the following at any given time:</w:t>
      </w:r>
    </w:p>
    <w:p w14:paraId="60FA12E1" w14:textId="77777777" w:rsidR="00FD791D" w:rsidRPr="0057145F" w:rsidRDefault="00FD791D" w:rsidP="007B0F0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Receive on the access link (UE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>) and/or backhaul link (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) </w:t>
      </w:r>
    </w:p>
    <w:p w14:paraId="74B31FC5" w14:textId="77777777" w:rsidR="00FD791D" w:rsidRDefault="00FD791D" w:rsidP="007B0F0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Transmit on the access link and/or backhaul link </w:t>
      </w:r>
    </w:p>
    <w:p w14:paraId="16D6C733" w14:textId="77777777" w:rsidR="00FD791D" w:rsidRDefault="00DE2A3F" w:rsidP="00FD791D">
      <w:pPr>
        <w:pStyle w:val="maintext"/>
        <w:keepNext/>
        <w:ind w:firstLineChars="0" w:firstLine="0"/>
        <w:jc w:val="center"/>
      </w:pPr>
      <w:r>
        <w:rPr>
          <w:noProof/>
          <w:color w:val="1F497D"/>
          <w:lang w:val="en-US" w:eastAsia="en-US"/>
        </w:rPr>
        <w:drawing>
          <wp:inline distT="0" distB="0" distL="0" distR="0" wp14:anchorId="75DEC369" wp14:editId="73D2BE7F">
            <wp:extent cx="3148314" cy="1047215"/>
            <wp:effectExtent l="0" t="0" r="0" b="0"/>
            <wp:docPr id="5" name="Picture 5" descr="cid:image005.png@01D3944D.5F473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5.png@01D3944D.5F47309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519"/>
                    <a:stretch/>
                  </pic:blipFill>
                  <pic:spPr bwMode="auto">
                    <a:xfrm>
                      <a:off x="0" y="0"/>
                      <a:ext cx="3199967" cy="106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4A21B" w14:textId="77777777" w:rsidR="00FD791D" w:rsidRPr="006C49B6" w:rsidRDefault="00FD791D" w:rsidP="00FD791D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 xml:space="preserve">Figure </w:t>
      </w:r>
      <w:r w:rsidR="003C20FC">
        <w:rPr>
          <w:rFonts w:ascii="Calibri" w:hAnsi="Calibri"/>
          <w:b/>
          <w:bCs/>
          <w:sz w:val="22"/>
          <w:lang w:val="en-GB" w:eastAsia="zh-CN"/>
        </w:rPr>
        <w:t>1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 w:rsidR="00BB5132">
        <w:rPr>
          <w:rFonts w:ascii="Calibri" w:hAnsi="Calibri"/>
          <w:b/>
          <w:bCs/>
          <w:sz w:val="22"/>
          <w:lang w:val="en-GB" w:eastAsia="zh-CN"/>
        </w:rPr>
        <w:t>H</w:t>
      </w:r>
      <w:r w:rsidRPr="002C594E">
        <w:rPr>
          <w:rFonts w:ascii="Calibri" w:hAnsi="Calibri"/>
          <w:b/>
          <w:bCs/>
          <w:sz w:val="22"/>
          <w:lang w:val="en-GB" w:eastAsia="zh-CN"/>
        </w:rPr>
        <w:t xml:space="preserve">alf-duplex constraint </w:t>
      </w:r>
      <w:r w:rsidR="003C20FC">
        <w:rPr>
          <w:rFonts w:ascii="Calibri" w:hAnsi="Calibri"/>
          <w:b/>
          <w:bCs/>
          <w:sz w:val="22"/>
          <w:lang w:val="en-GB" w:eastAsia="zh-CN"/>
        </w:rPr>
        <w:t>for IAB in Rel-16</w:t>
      </w:r>
    </w:p>
    <w:p w14:paraId="6EEBB096" w14:textId="1D9F2DEF" w:rsidR="003C20FC" w:rsidRDefault="00093E00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As a result, the frame structure, timing alignment, and initial access/RRM procedures for IAB nodes in Rel-16 focused on so-called TDM operation where either the access link or backhaul link was active in a given time/frequency resources. However</w:t>
      </w:r>
      <w:r w:rsidR="00EB0B67">
        <w:rPr>
          <w:rFonts w:ascii="Calibri" w:hAnsi="Calibri"/>
        </w:rPr>
        <w:t>,</w:t>
      </w:r>
      <w:r>
        <w:rPr>
          <w:rFonts w:ascii="Calibri" w:hAnsi="Calibri"/>
        </w:rPr>
        <w:t xml:space="preserve"> in Rel-17 enhancements are considered which extend the resource multiplexing to additional scenarios such as </w:t>
      </w:r>
      <w:r w:rsidR="00DD4B25">
        <w:rPr>
          <w:rFonts w:ascii="Calibri" w:hAnsi="Calibri"/>
        </w:rPr>
        <w:t>frequency</w:t>
      </w:r>
      <w:r>
        <w:rPr>
          <w:rFonts w:ascii="Calibri" w:hAnsi="Calibri"/>
        </w:rPr>
        <w:t xml:space="preserve"> division multiplexing (</w:t>
      </w:r>
      <w:r w:rsidR="00DD4B25">
        <w:rPr>
          <w:rFonts w:ascii="Calibri" w:hAnsi="Calibri"/>
        </w:rPr>
        <w:t>F</w:t>
      </w:r>
      <w:r>
        <w:rPr>
          <w:rFonts w:ascii="Calibri" w:hAnsi="Calibri"/>
        </w:rPr>
        <w:t xml:space="preserve">DM) as shown in Figure </w:t>
      </w:r>
      <w:r w:rsidR="00DD4B25">
        <w:rPr>
          <w:rFonts w:ascii="Calibri" w:hAnsi="Calibri"/>
        </w:rPr>
        <w:t>2</w:t>
      </w:r>
      <w:r>
        <w:rPr>
          <w:rFonts w:ascii="Calibri" w:hAnsi="Calibri"/>
        </w:rPr>
        <w:t xml:space="preserve">. </w:t>
      </w:r>
    </w:p>
    <w:p w14:paraId="62E24EF8" w14:textId="049C42C7" w:rsidR="003C20FC" w:rsidRDefault="00127590" w:rsidP="003C20FC">
      <w:pPr>
        <w:pStyle w:val="maintext"/>
        <w:ind w:firstLineChars="0" w:firstLine="0"/>
        <w:jc w:val="center"/>
        <w:rPr>
          <w:rFonts w:ascii="Calibri" w:hAnsi="Calibri"/>
        </w:rPr>
      </w:pPr>
      <w:r w:rsidRPr="00127590">
        <w:rPr>
          <w:rFonts w:ascii="Calibri" w:hAnsi="Calibri"/>
          <w:noProof/>
          <w:lang w:val="en-US"/>
        </w:rPr>
        <w:lastRenderedPageBreak/>
        <w:drawing>
          <wp:inline distT="0" distB="0" distL="0" distR="0" wp14:anchorId="79BA8E00" wp14:editId="0E964468">
            <wp:extent cx="3995224" cy="20568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8073" cy="206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856A1" w14:textId="127EE201" w:rsidR="00DE2372" w:rsidRPr="00DD4B25" w:rsidRDefault="003C20FC" w:rsidP="00DD4B25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>Figure 2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 w:rsidR="00127590">
        <w:rPr>
          <w:rFonts w:ascii="Calibri" w:hAnsi="Calibri"/>
          <w:b/>
          <w:bCs/>
          <w:sz w:val="22"/>
          <w:lang w:val="en-GB" w:eastAsia="zh-CN"/>
        </w:rPr>
        <w:t>FDM</w:t>
      </w:r>
      <w:r>
        <w:rPr>
          <w:rFonts w:ascii="Calibri" w:hAnsi="Calibri"/>
          <w:b/>
          <w:bCs/>
          <w:sz w:val="22"/>
          <w:lang w:val="en-GB" w:eastAsia="zh-CN"/>
        </w:rPr>
        <w:t xml:space="preserve"> for IAB in Rel-17</w:t>
      </w:r>
    </w:p>
    <w:p w14:paraId="67E46B01" w14:textId="71FFA703" w:rsidR="00FB71EE" w:rsidRDefault="00FB71EE" w:rsidP="00FB71EE">
      <w:pPr>
        <w:spacing w:line="288" w:lineRule="auto"/>
        <w:rPr>
          <w:rFonts w:ascii="Calibri" w:hAnsi="Calibri"/>
        </w:rPr>
      </w:pPr>
      <w:r>
        <w:rPr>
          <w:rFonts w:ascii="Calibri" w:hAnsi="Calibri"/>
        </w:rPr>
        <w:t>In order to extend the H/S/NA framework in case of FDM operation, the following agreements were made in RAN1#10</w:t>
      </w:r>
      <w:r w:rsidR="00711A9B">
        <w:rPr>
          <w:rFonts w:ascii="Calibri" w:hAnsi="Calibri"/>
        </w:rPr>
        <w:t>6</w:t>
      </w:r>
      <w:r>
        <w:rPr>
          <w:rFonts w:ascii="Calibri" w:hAnsi="Calibri"/>
        </w:rPr>
        <w:t>-e:</w:t>
      </w:r>
    </w:p>
    <w:p w14:paraId="078E0B59" w14:textId="77777777" w:rsidR="00711A9B" w:rsidRPr="00DA64B4" w:rsidRDefault="00711A9B" w:rsidP="00711A9B">
      <w:pPr>
        <w:rPr>
          <w:rFonts w:cs="Times"/>
          <w:b/>
          <w:highlight w:val="green"/>
        </w:rPr>
      </w:pPr>
      <w:r w:rsidRPr="00DA64B4">
        <w:rPr>
          <w:rFonts w:cs="Times"/>
          <w:b/>
          <w:highlight w:val="green"/>
        </w:rPr>
        <w:t>Agreement</w:t>
      </w:r>
    </w:p>
    <w:p w14:paraId="6F55FFE4" w14:textId="77777777" w:rsidR="00711A9B" w:rsidRPr="00DA64B4" w:rsidRDefault="00711A9B" w:rsidP="00711A9B">
      <w:pPr>
        <w:rPr>
          <w:rFonts w:cs="Times"/>
          <w:bCs/>
        </w:rPr>
      </w:pPr>
      <w:r w:rsidRPr="00DA64B4">
        <w:rPr>
          <w:rFonts w:cs="Times"/>
          <w:bCs/>
        </w:rPr>
        <w:t>The semi-static configuration of H/S/NA resource type in frequency domain is provided per RB set, per D/U/F resource type within a slot.</w:t>
      </w:r>
    </w:p>
    <w:p w14:paraId="5146AE43" w14:textId="77777777" w:rsidR="00711A9B" w:rsidRPr="00DA64B4" w:rsidRDefault="00711A9B" w:rsidP="00711A9B">
      <w:pPr>
        <w:rPr>
          <w:rFonts w:cs="Times"/>
          <w:lang w:eastAsia="x-none"/>
        </w:rPr>
      </w:pPr>
    </w:p>
    <w:p w14:paraId="1F98117D" w14:textId="77777777" w:rsidR="00711A9B" w:rsidRPr="00AA0687" w:rsidRDefault="00711A9B" w:rsidP="00711A9B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27E3B763" w14:textId="77777777" w:rsidR="00711A9B" w:rsidRPr="00AA0687" w:rsidRDefault="00711A9B" w:rsidP="00711A9B">
      <w:pPr>
        <w:rPr>
          <w:rFonts w:cs="Times"/>
        </w:rPr>
      </w:pPr>
      <w:r w:rsidRPr="00AA0687">
        <w:rPr>
          <w:rFonts w:cs="Times"/>
        </w:rPr>
        <w:t>N is a configured number of PRBs, where the CU configures N</w:t>
      </w:r>
    </w:p>
    <w:p w14:paraId="65FF15AC" w14:textId="77777777" w:rsidR="00711A9B" w:rsidRPr="00820187" w:rsidRDefault="00711A9B" w:rsidP="00711A9B">
      <w:pPr>
        <w:pStyle w:val="ListParagraph"/>
        <w:numPr>
          <w:ilvl w:val="0"/>
          <w:numId w:val="24"/>
        </w:numPr>
        <w:spacing w:before="0" w:after="0"/>
        <w:rPr>
          <w:rFonts w:cs="Times"/>
        </w:rPr>
      </w:pPr>
      <w:r w:rsidRPr="00820187">
        <w:rPr>
          <w:rFonts w:cs="Times"/>
        </w:rPr>
        <w:t>N = {2, 4, 8, 16, 32, 64}</w:t>
      </w:r>
    </w:p>
    <w:p w14:paraId="05EF56FB" w14:textId="77777777" w:rsidR="00711A9B" w:rsidRPr="00AA0687" w:rsidRDefault="00711A9B" w:rsidP="00711A9B">
      <w:pPr>
        <w:pStyle w:val="ListParagraph"/>
        <w:numPr>
          <w:ilvl w:val="0"/>
          <w:numId w:val="23"/>
        </w:numPr>
        <w:spacing w:before="0" w:after="0"/>
        <w:rPr>
          <w:rFonts w:cs="Times"/>
        </w:rPr>
      </w:pPr>
      <w:r w:rsidRPr="00AA0687">
        <w:rPr>
          <w:rFonts w:cs="Times"/>
        </w:rPr>
        <w:t>FFS: Value(s) of N in case of multiple configured BWPs at the IAB-MT</w:t>
      </w:r>
    </w:p>
    <w:p w14:paraId="49E89973" w14:textId="77777777" w:rsidR="00711A9B" w:rsidRPr="00AA0687" w:rsidRDefault="00711A9B" w:rsidP="00711A9B">
      <w:pPr>
        <w:pStyle w:val="ListParagraph"/>
        <w:numPr>
          <w:ilvl w:val="0"/>
          <w:numId w:val="23"/>
        </w:numPr>
        <w:spacing w:before="0" w:after="0"/>
        <w:rPr>
          <w:rFonts w:cs="Times"/>
        </w:rPr>
      </w:pPr>
      <w:r w:rsidRPr="00AA0687">
        <w:rPr>
          <w:rFonts w:cs="Times"/>
        </w:rPr>
        <w:t xml:space="preserve">This agreement does not revert any existing RAN1 agreement </w:t>
      </w:r>
    </w:p>
    <w:p w14:paraId="7B53A871" w14:textId="77777777" w:rsidR="00711A9B" w:rsidRPr="00AA0687" w:rsidRDefault="00711A9B" w:rsidP="00711A9B">
      <w:pPr>
        <w:rPr>
          <w:rFonts w:cs="Times"/>
          <w:lang w:eastAsia="x-none"/>
        </w:rPr>
      </w:pPr>
    </w:p>
    <w:p w14:paraId="5371E4D2" w14:textId="77777777" w:rsidR="00711A9B" w:rsidRPr="00AA0687" w:rsidRDefault="00711A9B" w:rsidP="00711A9B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53642A2C" w14:textId="77777777" w:rsidR="00711A9B" w:rsidRPr="00AA0687" w:rsidRDefault="00711A9B" w:rsidP="00711A9B">
      <w:pPr>
        <w:pStyle w:val="ListParagraph"/>
        <w:ind w:left="0"/>
        <w:rPr>
          <w:rFonts w:cs="Times"/>
        </w:rPr>
      </w:pPr>
      <w:r w:rsidRPr="00AA0687">
        <w:rPr>
          <w:rFonts w:cs="Times"/>
        </w:rPr>
        <w:t>For a given RB set at a symbol, if Rel-17 frequency domain H/S/NA configuration is not provided, the Rel-</w:t>
      </w:r>
      <w:proofErr w:type="gramStart"/>
      <w:r w:rsidRPr="00AA0687">
        <w:rPr>
          <w:rFonts w:cs="Times"/>
        </w:rPr>
        <w:t>16 time</w:t>
      </w:r>
      <w:proofErr w:type="gramEnd"/>
      <w:r w:rsidRPr="00AA0687">
        <w:rPr>
          <w:rFonts w:cs="Times"/>
        </w:rPr>
        <w:t xml:space="preserve"> domain H/S/NA is applied</w:t>
      </w:r>
    </w:p>
    <w:p w14:paraId="44B2CAAD" w14:textId="77777777" w:rsidR="00711A9B" w:rsidRPr="00AA0687" w:rsidRDefault="00711A9B" w:rsidP="00711A9B">
      <w:pPr>
        <w:rPr>
          <w:rFonts w:cs="Times"/>
          <w:lang w:eastAsia="x-none"/>
        </w:rPr>
      </w:pPr>
    </w:p>
    <w:p w14:paraId="1A162FE2" w14:textId="77777777" w:rsidR="00711A9B" w:rsidRPr="00AA0687" w:rsidRDefault="00711A9B" w:rsidP="00711A9B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6037AD31" w14:textId="77777777" w:rsidR="00711A9B" w:rsidRPr="00AA0687" w:rsidRDefault="00711A9B" w:rsidP="00711A9B">
      <w:pPr>
        <w:rPr>
          <w:rFonts w:cs="Times"/>
          <w:bCs/>
          <w:lang w:eastAsia="x-none"/>
        </w:rPr>
      </w:pPr>
      <w:r w:rsidRPr="00AA0687">
        <w:rPr>
          <w:rFonts w:cs="Times"/>
          <w:bCs/>
        </w:rPr>
        <w:t>A Reference SCS is configured for frequency domain H/S/NA configuration.</w:t>
      </w:r>
    </w:p>
    <w:p w14:paraId="77AA7F17" w14:textId="0707F491" w:rsidR="00440D0C" w:rsidRDefault="00440D0C" w:rsidP="00FB71EE">
      <w:pPr>
        <w:spacing w:line="288" w:lineRule="auto"/>
        <w:rPr>
          <w:rFonts w:ascii="Calibri" w:hAnsi="Calibri"/>
        </w:rPr>
      </w:pPr>
    </w:p>
    <w:p w14:paraId="573E01D1" w14:textId="35CB0A38" w:rsidR="00DD4B25" w:rsidRDefault="00DD4B25" w:rsidP="00FB71EE">
      <w:pPr>
        <w:spacing w:line="288" w:lineRule="auto"/>
        <w:rPr>
          <w:rFonts w:ascii="Calibri" w:hAnsi="Calibri"/>
        </w:rPr>
      </w:pPr>
      <w:r>
        <w:rPr>
          <w:rFonts w:ascii="Calibri" w:hAnsi="Calibri"/>
        </w:rPr>
        <w:t>Additionally</w:t>
      </w:r>
      <w:r w:rsidR="00127590">
        <w:rPr>
          <w:rFonts w:ascii="Calibri" w:hAnsi="Calibri"/>
        </w:rPr>
        <w:t>,</w:t>
      </w:r>
      <w:r>
        <w:rPr>
          <w:rFonts w:ascii="Calibri" w:hAnsi="Calibri"/>
        </w:rPr>
        <w:t xml:space="preserve"> the following agreements were made in RAN1#106bis-e:</w:t>
      </w:r>
    </w:p>
    <w:p w14:paraId="5E638D6B" w14:textId="77777777" w:rsidR="00DD4B25" w:rsidRPr="00717B85" w:rsidRDefault="00DD4B25" w:rsidP="00DD4B25">
      <w:pPr>
        <w:rPr>
          <w:rFonts w:cs="Times"/>
          <w:b/>
          <w:highlight w:val="green"/>
        </w:rPr>
      </w:pPr>
      <w:r w:rsidRPr="00717B85">
        <w:rPr>
          <w:rFonts w:cs="Times"/>
          <w:b/>
          <w:highlight w:val="green"/>
        </w:rPr>
        <w:t>Agreement</w:t>
      </w:r>
    </w:p>
    <w:p w14:paraId="2C352AC6" w14:textId="77777777" w:rsidR="00DD4B25" w:rsidRPr="00717B85" w:rsidRDefault="00DD4B25" w:rsidP="00DD4B25">
      <w:pPr>
        <w:rPr>
          <w:rFonts w:cs="Times"/>
          <w:bCs/>
        </w:rPr>
      </w:pPr>
      <w:r w:rsidRPr="00717B85">
        <w:rPr>
          <w:rFonts w:cs="Times"/>
          <w:bCs/>
        </w:rPr>
        <w:t xml:space="preserve">The Rel-17 frequency domain H/S/NA configuration is provided across multiple slots and/or over a subset of slots only, with the same time-domain granularity and pattern duration as the Rel-16 H/S/NA configuration (i.e. </w:t>
      </w:r>
      <w:proofErr w:type="spellStart"/>
      <w:r w:rsidRPr="00717B85">
        <w:rPr>
          <w:rFonts w:cs="Times"/>
          <w:bCs/>
        </w:rPr>
        <w:t>gNB</w:t>
      </w:r>
      <w:proofErr w:type="spellEnd"/>
      <w:r w:rsidRPr="00717B85">
        <w:rPr>
          <w:rFonts w:cs="Times"/>
          <w:bCs/>
        </w:rPr>
        <w:t>-DU Cell Resource Configuration (9.3.1.107 in TS 38.473 [8])).</w:t>
      </w:r>
    </w:p>
    <w:p w14:paraId="0EB6ACCC" w14:textId="77777777" w:rsidR="00DD4B25" w:rsidRPr="00717B85" w:rsidRDefault="00DD4B25" w:rsidP="00DD4B25">
      <w:pPr>
        <w:pStyle w:val="ListParagraph"/>
        <w:numPr>
          <w:ilvl w:val="0"/>
          <w:numId w:val="28"/>
        </w:numPr>
        <w:spacing w:before="0" w:after="0"/>
        <w:rPr>
          <w:rFonts w:eastAsia="Calibri" w:cs="Times"/>
          <w:bCs/>
        </w:rPr>
      </w:pPr>
      <w:r w:rsidRPr="00717B85">
        <w:rPr>
          <w:rFonts w:eastAsia="Calibri" w:cs="Times"/>
          <w:bCs/>
        </w:rPr>
        <w:t>For a given slot, different H/S/NA resource types can be configured for different RB sets</w:t>
      </w:r>
    </w:p>
    <w:p w14:paraId="110FD0CC" w14:textId="77777777" w:rsidR="00DD4B25" w:rsidRPr="00717B85" w:rsidRDefault="00DD4B25" w:rsidP="00DD4B25">
      <w:pPr>
        <w:pStyle w:val="ListParagraph"/>
        <w:numPr>
          <w:ilvl w:val="0"/>
          <w:numId w:val="28"/>
        </w:numPr>
        <w:spacing w:before="0" w:after="0"/>
        <w:rPr>
          <w:rFonts w:eastAsia="Calibri" w:cs="Times"/>
          <w:bCs/>
        </w:rPr>
      </w:pPr>
      <w:r w:rsidRPr="00717B85">
        <w:rPr>
          <w:rFonts w:eastAsia="Calibri" w:cs="Times"/>
          <w:bCs/>
        </w:rPr>
        <w:t>Additional signaling details (e.g. bitmap, slot pattern, etc.) can be left up to RAN3</w:t>
      </w:r>
    </w:p>
    <w:p w14:paraId="26C9EEEA" w14:textId="77777777" w:rsidR="00DD4B25" w:rsidRPr="00717B85" w:rsidRDefault="00DD4B25" w:rsidP="00DD4B25">
      <w:pPr>
        <w:pStyle w:val="ListParagraph"/>
        <w:numPr>
          <w:ilvl w:val="0"/>
          <w:numId w:val="28"/>
        </w:numPr>
        <w:spacing w:before="0" w:after="0"/>
        <w:rPr>
          <w:rFonts w:eastAsia="Calibri" w:cs="Times"/>
          <w:bCs/>
        </w:rPr>
      </w:pPr>
      <w:r w:rsidRPr="00717B85">
        <w:rPr>
          <w:rFonts w:eastAsia="Calibri" w:cs="Times"/>
          <w:bCs/>
        </w:rPr>
        <w:t>FFS: The number of different frequency domain configurations at a given time</w:t>
      </w:r>
    </w:p>
    <w:p w14:paraId="2BDF4174" w14:textId="77777777" w:rsidR="00DD4B25" w:rsidRPr="00717B85" w:rsidRDefault="00DD4B25" w:rsidP="00DD4B25">
      <w:pPr>
        <w:rPr>
          <w:rFonts w:cs="Times"/>
          <w:lang w:eastAsia="x-none"/>
        </w:rPr>
      </w:pPr>
    </w:p>
    <w:p w14:paraId="2EDECCB1" w14:textId="77777777" w:rsidR="00DD4B25" w:rsidRPr="00717B85" w:rsidRDefault="00DD4B25" w:rsidP="00DD4B25">
      <w:pPr>
        <w:rPr>
          <w:rFonts w:cs="Times"/>
          <w:b/>
          <w:highlight w:val="green"/>
        </w:rPr>
      </w:pPr>
      <w:r w:rsidRPr="00717B85">
        <w:rPr>
          <w:rFonts w:cs="Times"/>
          <w:b/>
          <w:highlight w:val="green"/>
        </w:rPr>
        <w:t>Agreement</w:t>
      </w:r>
    </w:p>
    <w:p w14:paraId="78F5C15D" w14:textId="3B3C3D10" w:rsidR="00DD4B25" w:rsidRPr="00844713" w:rsidRDefault="00DD4B25" w:rsidP="00844713">
      <w:pPr>
        <w:rPr>
          <w:rFonts w:cs="Times"/>
          <w:bCs/>
        </w:rPr>
      </w:pPr>
      <w:r w:rsidRPr="00717B85">
        <w:rPr>
          <w:rFonts w:cs="Times"/>
          <w:bCs/>
        </w:rPr>
        <w:t>A single value for the RB set size, N, is configured for a given IAB-DU cell’s Rel-17 frequency domain H/S/NA configuration</w:t>
      </w:r>
    </w:p>
    <w:p w14:paraId="5A9D5810" w14:textId="790E63B9" w:rsidR="00FB71EE" w:rsidRDefault="00FB71EE" w:rsidP="00FB71EE">
      <w:pPr>
        <w:spacing w:line="288" w:lineRule="auto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In order to make an efficient tradeoff between overhead of the signaling and the flexibility to support FDM within a carrier between access and backhaul links, </w:t>
      </w:r>
      <w:r w:rsidR="00445CC3">
        <w:rPr>
          <w:rFonts w:ascii="Calibri" w:hAnsi="Calibri"/>
        </w:rPr>
        <w:t xml:space="preserve">the frequency domain H/S/NA </w:t>
      </w:r>
      <w:r w:rsidR="00EB0B67">
        <w:rPr>
          <w:rFonts w:ascii="Calibri" w:hAnsi="Calibri"/>
        </w:rPr>
        <w:t xml:space="preserve">IAB-DU </w:t>
      </w:r>
      <w:r w:rsidR="00445CC3">
        <w:rPr>
          <w:rFonts w:ascii="Calibri" w:hAnsi="Calibri"/>
        </w:rPr>
        <w:t xml:space="preserve">configuration should be provided </w:t>
      </w:r>
      <w:r w:rsidR="00570E7B">
        <w:rPr>
          <w:rFonts w:ascii="Calibri" w:hAnsi="Calibri"/>
        </w:rPr>
        <w:t xml:space="preserve">only </w:t>
      </w:r>
      <w:r w:rsidR="00445CC3">
        <w:rPr>
          <w:rFonts w:ascii="Calibri" w:hAnsi="Calibri"/>
        </w:rPr>
        <w:t xml:space="preserve">for a subset of the Rel-16 TDM H/S/NA </w:t>
      </w:r>
      <w:r w:rsidR="00EB0B67">
        <w:rPr>
          <w:rFonts w:ascii="Calibri" w:hAnsi="Calibri"/>
        </w:rPr>
        <w:t xml:space="preserve">IAB-DU </w:t>
      </w:r>
      <w:r w:rsidR="00445CC3">
        <w:rPr>
          <w:rFonts w:ascii="Calibri" w:hAnsi="Calibri"/>
        </w:rPr>
        <w:t>configuration</w:t>
      </w:r>
      <w:r w:rsidR="00570E7B">
        <w:rPr>
          <w:rFonts w:ascii="Calibri" w:hAnsi="Calibri"/>
        </w:rPr>
        <w:t xml:space="preserve"> where the H/S/NA resource type of a given RB set is different</w:t>
      </w:r>
      <w:r>
        <w:rPr>
          <w:rFonts w:ascii="Calibri" w:hAnsi="Calibri"/>
        </w:rPr>
        <w:t xml:space="preserve">. </w:t>
      </w:r>
      <w:r w:rsidR="00570E7B">
        <w:rPr>
          <w:rFonts w:ascii="Calibri" w:hAnsi="Calibri"/>
        </w:rPr>
        <w:t xml:space="preserve">This can reduce signaling since for many cases, the H/S/NA </w:t>
      </w:r>
      <w:r w:rsidR="00EB0B67">
        <w:rPr>
          <w:rFonts w:ascii="Calibri" w:hAnsi="Calibri"/>
        </w:rPr>
        <w:t xml:space="preserve">resource types </w:t>
      </w:r>
      <w:r w:rsidR="00570E7B">
        <w:rPr>
          <w:rFonts w:ascii="Calibri" w:hAnsi="Calibri"/>
        </w:rPr>
        <w:t>may be aligned across the bandwidth of the carrier in order to provide backwards compatibility with TDM-only IAB nodes or access UEs which may be operating in specific slots where FDM operation is not supported.</w:t>
      </w:r>
      <w:r w:rsidR="00844713">
        <w:rPr>
          <w:rFonts w:ascii="Calibri" w:hAnsi="Calibri"/>
        </w:rPr>
        <w:t xml:space="preserve"> </w:t>
      </w:r>
      <w:r w:rsidR="0009773A">
        <w:rPr>
          <w:rFonts w:ascii="Calibri" w:hAnsi="Calibri"/>
        </w:rPr>
        <w:t>This also enables more efficient adaptation of the frequency partitioning between access and backhaul</w:t>
      </w:r>
      <w:r w:rsidR="00EB0B67">
        <w:rPr>
          <w:rFonts w:ascii="Calibri" w:hAnsi="Calibri"/>
        </w:rPr>
        <w:t>,</w:t>
      </w:r>
      <w:r w:rsidR="0009773A">
        <w:rPr>
          <w:rFonts w:ascii="Calibri" w:hAnsi="Calibri"/>
        </w:rPr>
        <w:t xml:space="preserve"> which may be needed because of topology updates or because of traffic</w:t>
      </w:r>
      <w:r w:rsidR="001C2370">
        <w:rPr>
          <w:rFonts w:ascii="Calibri" w:hAnsi="Calibri"/>
        </w:rPr>
        <w:t xml:space="preserve"> variation across the access and backhaul links at the child and parent IAB nodes. </w:t>
      </w:r>
      <w:r w:rsidR="00844713">
        <w:rPr>
          <w:rFonts w:ascii="Calibri" w:hAnsi="Calibri"/>
        </w:rPr>
        <w:t xml:space="preserve">As a result, after the initial </w:t>
      </w:r>
      <w:r w:rsidR="002818EB">
        <w:rPr>
          <w:rFonts w:ascii="Calibri" w:hAnsi="Calibri"/>
        </w:rPr>
        <w:t>IAB-</w:t>
      </w:r>
      <w:r w:rsidR="00844713">
        <w:rPr>
          <w:rFonts w:ascii="Calibri" w:hAnsi="Calibri"/>
        </w:rPr>
        <w:t xml:space="preserve">DU configuration, </w:t>
      </w:r>
      <w:r w:rsidR="002818EB">
        <w:rPr>
          <w:rFonts w:ascii="Calibri" w:hAnsi="Calibri"/>
        </w:rPr>
        <w:t xml:space="preserve">any further updates of the </w:t>
      </w:r>
      <w:r w:rsidR="001C2370">
        <w:rPr>
          <w:rFonts w:ascii="Calibri" w:hAnsi="Calibri"/>
        </w:rPr>
        <w:t xml:space="preserve">frequency domain H/S/NA configuration should be provided in a supplementary delta-signaling manner </w:t>
      </w:r>
      <w:r w:rsidR="00C5330C">
        <w:rPr>
          <w:rFonts w:ascii="Calibri" w:hAnsi="Calibri"/>
        </w:rPr>
        <w:t xml:space="preserve">from the donor CU </w:t>
      </w:r>
      <w:r w:rsidR="001C2370">
        <w:rPr>
          <w:rFonts w:ascii="Calibri" w:hAnsi="Calibri"/>
        </w:rPr>
        <w:t>without requiring</w:t>
      </w:r>
      <w:r w:rsidR="00C5330C">
        <w:rPr>
          <w:rFonts w:ascii="Calibri" w:hAnsi="Calibri"/>
        </w:rPr>
        <w:t xml:space="preserve"> sending of </w:t>
      </w:r>
      <w:r w:rsidR="00B9467D">
        <w:rPr>
          <w:rFonts w:ascii="Calibri" w:hAnsi="Calibri"/>
        </w:rPr>
        <w:t>the</w:t>
      </w:r>
      <w:r w:rsidR="00C5330C">
        <w:rPr>
          <w:rFonts w:ascii="Calibri" w:hAnsi="Calibri"/>
        </w:rPr>
        <w:t xml:space="preserve"> full reconfiguration of the </w:t>
      </w:r>
      <w:proofErr w:type="spellStart"/>
      <w:r w:rsidR="00C5330C">
        <w:rPr>
          <w:rFonts w:ascii="Calibri" w:hAnsi="Calibri"/>
        </w:rPr>
        <w:t>gNB</w:t>
      </w:r>
      <w:proofErr w:type="spellEnd"/>
      <w:r w:rsidR="00C5330C">
        <w:rPr>
          <w:rFonts w:ascii="Calibri" w:hAnsi="Calibri"/>
        </w:rPr>
        <w:t xml:space="preserve">-DU Cell Resource Configuration.  </w:t>
      </w:r>
    </w:p>
    <w:p w14:paraId="5EC5AF3B" w14:textId="5CC20822" w:rsidR="00EB43C4" w:rsidRPr="00EB0B67" w:rsidRDefault="00FB71EE" w:rsidP="00EB0B67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 w:rsidRPr="00AD1F94"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70176B">
        <w:rPr>
          <w:rFonts w:ascii="Calibri" w:hAnsi="Calibri"/>
          <w:b/>
          <w:bCs/>
          <w:color w:val="000000"/>
          <w:kern w:val="24"/>
        </w:rPr>
        <w:t>1</w:t>
      </w:r>
      <w:r w:rsidRPr="00AD1F94">
        <w:rPr>
          <w:rFonts w:ascii="Calibri" w:hAnsi="Calibri"/>
          <w:b/>
          <w:bCs/>
          <w:color w:val="000000"/>
          <w:kern w:val="24"/>
        </w:rPr>
        <w:t xml:space="preserve">: </w:t>
      </w:r>
      <w:r w:rsidR="00570E7B">
        <w:rPr>
          <w:rFonts w:ascii="Calibri" w:hAnsi="Calibri"/>
          <w:b/>
          <w:bCs/>
          <w:color w:val="000000"/>
          <w:kern w:val="24"/>
        </w:rPr>
        <w:t xml:space="preserve">The </w:t>
      </w:r>
      <w:r w:rsidR="003E59CC" w:rsidRPr="003E59CC">
        <w:rPr>
          <w:rFonts w:ascii="Calibri" w:hAnsi="Calibri"/>
          <w:b/>
          <w:bCs/>
          <w:color w:val="000000"/>
          <w:kern w:val="24"/>
        </w:rPr>
        <w:t xml:space="preserve">frequency-domain H/S/NA configuration </w:t>
      </w:r>
      <w:r w:rsidR="00BC24E3">
        <w:rPr>
          <w:rFonts w:ascii="Calibri" w:hAnsi="Calibri"/>
          <w:b/>
          <w:bCs/>
          <w:color w:val="000000"/>
          <w:kern w:val="24"/>
        </w:rPr>
        <w:t xml:space="preserve">of an IAB-DU provided by the donor CU </w:t>
      </w:r>
      <w:r w:rsidR="00CB4181">
        <w:rPr>
          <w:rFonts w:ascii="Calibri" w:hAnsi="Calibri"/>
          <w:b/>
          <w:bCs/>
          <w:color w:val="000000"/>
          <w:kern w:val="24"/>
        </w:rPr>
        <w:t xml:space="preserve">can be updated via delta signalling </w:t>
      </w:r>
      <w:r w:rsidR="00570E7B">
        <w:rPr>
          <w:rFonts w:ascii="Calibri" w:hAnsi="Calibri"/>
          <w:b/>
          <w:bCs/>
          <w:color w:val="000000"/>
          <w:kern w:val="24"/>
        </w:rPr>
        <w:t xml:space="preserve">for RB sets in a given slot which have a different H/S/NA resource type from the corresponding </w:t>
      </w:r>
      <w:r w:rsidR="00E320F0">
        <w:rPr>
          <w:rFonts w:ascii="Calibri" w:hAnsi="Calibri"/>
          <w:b/>
          <w:bCs/>
          <w:color w:val="000000"/>
          <w:kern w:val="24"/>
        </w:rPr>
        <w:t>time domain</w:t>
      </w:r>
      <w:r w:rsidR="00570E7B">
        <w:rPr>
          <w:rFonts w:ascii="Calibri" w:hAnsi="Calibri"/>
          <w:b/>
          <w:bCs/>
          <w:color w:val="000000"/>
          <w:kern w:val="24"/>
        </w:rPr>
        <w:t xml:space="preserve"> H/S/NA configuration</w:t>
      </w:r>
      <w:r w:rsidR="006C1A68">
        <w:rPr>
          <w:rFonts w:ascii="Calibri" w:hAnsi="Calibri"/>
          <w:b/>
          <w:bCs/>
          <w:color w:val="000000"/>
          <w:kern w:val="24"/>
        </w:rPr>
        <w:t xml:space="preserve"> in the </w:t>
      </w:r>
      <w:proofErr w:type="spellStart"/>
      <w:r w:rsidR="006C1A68" w:rsidRPr="006C1A68">
        <w:rPr>
          <w:rFonts w:ascii="Calibri" w:hAnsi="Calibri"/>
          <w:b/>
          <w:bCs/>
          <w:color w:val="000000"/>
          <w:kern w:val="24"/>
        </w:rPr>
        <w:t>gNB</w:t>
      </w:r>
      <w:proofErr w:type="spellEnd"/>
      <w:r w:rsidR="006C1A68" w:rsidRPr="006C1A68">
        <w:rPr>
          <w:rFonts w:ascii="Calibri" w:hAnsi="Calibri"/>
          <w:b/>
          <w:bCs/>
          <w:color w:val="000000"/>
          <w:kern w:val="24"/>
        </w:rPr>
        <w:t>-DU Cell Resource Configuration</w:t>
      </w:r>
      <w:r w:rsidR="003E59CC">
        <w:rPr>
          <w:rFonts w:ascii="Calibri" w:hAnsi="Calibri"/>
          <w:b/>
          <w:bCs/>
          <w:color w:val="000000"/>
          <w:kern w:val="24"/>
        </w:rPr>
        <w:t>.</w:t>
      </w:r>
    </w:p>
    <w:p w14:paraId="1299C57B" w14:textId="5860A4CF" w:rsidR="007A133A" w:rsidRDefault="007A133A" w:rsidP="000F4CF8">
      <w:pPr>
        <w:pStyle w:val="Heading1"/>
        <w:rPr>
          <w:rFonts w:ascii="Calibri" w:hAnsi="Calibri"/>
        </w:rPr>
      </w:pPr>
      <w:r>
        <w:t xml:space="preserve">Multi-parent scenarios </w:t>
      </w:r>
    </w:p>
    <w:p w14:paraId="2882EF60" w14:textId="6F470BF7" w:rsidR="00DF4D39" w:rsidRPr="00E77182" w:rsidRDefault="00DF4D39" w:rsidP="00E77182">
      <w:pPr>
        <w:overflowPunct w:val="0"/>
        <w:autoSpaceDE w:val="0"/>
        <w:autoSpaceDN w:val="0"/>
        <w:adjustRightInd w:val="0"/>
        <w:spacing w:after="240" w:line="276" w:lineRule="auto"/>
        <w:textAlignment w:val="baseline"/>
        <w:rPr>
          <w:rFonts w:ascii="Calibri" w:hAnsi="Calibri"/>
          <w:bCs/>
          <w:color w:val="000000"/>
          <w:kern w:val="24"/>
        </w:rPr>
      </w:pPr>
      <w:r w:rsidRPr="00E77182">
        <w:rPr>
          <w:rFonts w:ascii="Calibri" w:hAnsi="Calibri"/>
          <w:bCs/>
          <w:color w:val="000000"/>
          <w:kern w:val="24"/>
        </w:rPr>
        <w:t>In addition, in Rel-16, the resource allocation and multiplexing framework focused on single-parent scenarios for a given IAB-node. However, to support redundancy and load-balancing, multi-parent scenarios are also possible</w:t>
      </w:r>
      <w:r w:rsidR="00EB0B67">
        <w:rPr>
          <w:rFonts w:ascii="Calibri" w:hAnsi="Calibri"/>
          <w:bCs/>
          <w:color w:val="000000"/>
          <w:kern w:val="24"/>
        </w:rPr>
        <w:t xml:space="preserve"> using dual connectivity at the IAB-MT</w:t>
      </w:r>
      <w:r w:rsidR="007A133A" w:rsidRPr="00E77182">
        <w:rPr>
          <w:rFonts w:ascii="Calibri" w:hAnsi="Calibri"/>
          <w:bCs/>
          <w:color w:val="000000"/>
          <w:kern w:val="24"/>
        </w:rPr>
        <w:t>.</w:t>
      </w:r>
    </w:p>
    <w:p w14:paraId="4226006E" w14:textId="162E1071" w:rsidR="00DF4D39" w:rsidRDefault="00DF4D39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  <w:r>
        <w:rPr>
          <w:rFonts w:ascii="Calibri" w:hAnsi="Calibri"/>
          <w:bCs/>
          <w:color w:val="000000"/>
          <w:kern w:val="24"/>
        </w:rPr>
        <w:t>Furthermore, during RAN1#10</w:t>
      </w:r>
      <w:r w:rsidR="007B566C">
        <w:rPr>
          <w:rFonts w:ascii="Calibri" w:hAnsi="Calibri"/>
          <w:bCs/>
          <w:color w:val="000000"/>
          <w:kern w:val="24"/>
        </w:rPr>
        <w:t>6</w:t>
      </w:r>
      <w:r w:rsidR="00457E38">
        <w:rPr>
          <w:rFonts w:ascii="Calibri" w:hAnsi="Calibri"/>
          <w:bCs/>
          <w:color w:val="000000"/>
          <w:kern w:val="24"/>
        </w:rPr>
        <w:t>bis</w:t>
      </w:r>
      <w:r>
        <w:rPr>
          <w:rFonts w:ascii="Calibri" w:hAnsi="Calibri"/>
          <w:bCs/>
          <w:color w:val="000000"/>
          <w:kern w:val="24"/>
        </w:rPr>
        <w:t xml:space="preserve">-e the following </w:t>
      </w:r>
      <w:r w:rsidR="007B566C">
        <w:rPr>
          <w:rFonts w:ascii="Calibri" w:hAnsi="Calibri"/>
          <w:bCs/>
          <w:color w:val="000000"/>
          <w:kern w:val="24"/>
        </w:rPr>
        <w:t>conclusion</w:t>
      </w:r>
      <w:r>
        <w:rPr>
          <w:rFonts w:ascii="Calibri" w:hAnsi="Calibri"/>
          <w:bCs/>
          <w:color w:val="000000"/>
          <w:kern w:val="24"/>
        </w:rPr>
        <w:t xml:space="preserve"> w</w:t>
      </w:r>
      <w:r w:rsidR="00AD1F94">
        <w:rPr>
          <w:rFonts w:ascii="Calibri" w:hAnsi="Calibri"/>
          <w:bCs/>
          <w:color w:val="000000"/>
          <w:kern w:val="24"/>
        </w:rPr>
        <w:t>as</w:t>
      </w:r>
      <w:r>
        <w:rPr>
          <w:rFonts w:ascii="Calibri" w:hAnsi="Calibri"/>
          <w:bCs/>
          <w:color w:val="000000"/>
          <w:kern w:val="24"/>
        </w:rPr>
        <w:t xml:space="preserve"> reached for multi-parent scenarios:</w:t>
      </w:r>
    </w:p>
    <w:p w14:paraId="1577D0AB" w14:textId="77777777" w:rsidR="00457E38" w:rsidRPr="00717B85" w:rsidRDefault="00457E38" w:rsidP="00457E38">
      <w:pPr>
        <w:rPr>
          <w:rFonts w:cs="Times"/>
          <w:b/>
          <w:highlight w:val="green"/>
        </w:rPr>
      </w:pPr>
      <w:r w:rsidRPr="00717B85">
        <w:rPr>
          <w:rFonts w:cs="Times"/>
          <w:b/>
          <w:highlight w:val="green"/>
        </w:rPr>
        <w:t>Agreement</w:t>
      </w:r>
    </w:p>
    <w:p w14:paraId="308CDC2E" w14:textId="77777777" w:rsidR="00457E38" w:rsidRPr="00717B85" w:rsidRDefault="00457E38" w:rsidP="00457E38">
      <w:pPr>
        <w:rPr>
          <w:rFonts w:cs="Times"/>
        </w:rPr>
      </w:pPr>
      <w:r w:rsidRPr="00717B85">
        <w:rPr>
          <w:rFonts w:cs="Times"/>
        </w:rPr>
        <w:t>In DC scenarios, support per-child MT link-NA resource configuration.</w:t>
      </w:r>
    </w:p>
    <w:p w14:paraId="26E7A30F" w14:textId="77777777" w:rsidR="00457E38" w:rsidRPr="00717B85" w:rsidRDefault="00457E38" w:rsidP="00457E38">
      <w:pPr>
        <w:pStyle w:val="ListParagraph"/>
        <w:numPr>
          <w:ilvl w:val="0"/>
          <w:numId w:val="22"/>
        </w:numPr>
        <w:spacing w:before="0" w:after="0"/>
        <w:contextualSpacing w:val="0"/>
        <w:jc w:val="left"/>
        <w:rPr>
          <w:rFonts w:cs="Times"/>
          <w:lang w:eastAsia="zh-CN"/>
        </w:rPr>
      </w:pPr>
      <w:r w:rsidRPr="00717B85">
        <w:rPr>
          <w:rFonts w:cs="Times"/>
          <w:lang w:eastAsia="zh-CN"/>
        </w:rPr>
        <w:t>This configuration can be made available to IAB node as well</w:t>
      </w:r>
    </w:p>
    <w:p w14:paraId="23EE24D4" w14:textId="77777777" w:rsidR="00DF4D39" w:rsidRDefault="00DF4D39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</w:p>
    <w:p w14:paraId="6B0A6CB4" w14:textId="77777777" w:rsidR="00EB0B67" w:rsidRDefault="00DF4D39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  <w:r>
        <w:rPr>
          <w:rFonts w:ascii="Calibri" w:hAnsi="Calibri"/>
          <w:bCs/>
          <w:color w:val="000000"/>
          <w:kern w:val="24"/>
        </w:rPr>
        <w:t xml:space="preserve">In order to address multi-parent operation, signaling for the IAB-DU resource configuration </w:t>
      </w:r>
      <w:r w:rsidR="00EF0F1F">
        <w:rPr>
          <w:rFonts w:ascii="Calibri" w:hAnsi="Calibri"/>
          <w:bCs/>
          <w:color w:val="000000"/>
          <w:kern w:val="24"/>
        </w:rPr>
        <w:t xml:space="preserve">was </w:t>
      </w:r>
      <w:r>
        <w:rPr>
          <w:rFonts w:ascii="Calibri" w:hAnsi="Calibri"/>
          <w:bCs/>
          <w:color w:val="000000"/>
          <w:kern w:val="24"/>
        </w:rPr>
        <w:t>enhance</w:t>
      </w:r>
      <w:r w:rsidR="00EF0F1F">
        <w:rPr>
          <w:rFonts w:ascii="Calibri" w:hAnsi="Calibri"/>
          <w:bCs/>
          <w:color w:val="000000"/>
          <w:kern w:val="24"/>
        </w:rPr>
        <w:t>d by RAN1</w:t>
      </w:r>
      <w:r>
        <w:rPr>
          <w:rFonts w:ascii="Calibri" w:hAnsi="Calibri"/>
          <w:bCs/>
          <w:color w:val="000000"/>
          <w:kern w:val="24"/>
        </w:rPr>
        <w:t xml:space="preserve"> in Rel-17</w:t>
      </w:r>
      <w:r w:rsidR="00A34D97">
        <w:rPr>
          <w:rFonts w:ascii="Calibri" w:hAnsi="Calibri"/>
          <w:bCs/>
          <w:color w:val="000000"/>
          <w:kern w:val="24"/>
        </w:rPr>
        <w:t>,</w:t>
      </w:r>
      <w:r>
        <w:rPr>
          <w:rFonts w:ascii="Calibri" w:hAnsi="Calibri"/>
          <w:bCs/>
          <w:color w:val="000000"/>
          <w:kern w:val="24"/>
        </w:rPr>
        <w:t xml:space="preserve"> since to allow multiplexing which is more efficient than strict TDM requires awareness of the configured resources at the multiple parents to avoid scheduling conflicts</w:t>
      </w:r>
      <w:r w:rsidR="00A34D97">
        <w:rPr>
          <w:rFonts w:ascii="Calibri" w:hAnsi="Calibri"/>
          <w:bCs/>
          <w:color w:val="000000"/>
          <w:kern w:val="24"/>
        </w:rPr>
        <w:t xml:space="preserve"> (e.g. in case of the use of flexible symbols via DCI Format 2_0 from multiple parent nodes)</w:t>
      </w:r>
      <w:r>
        <w:rPr>
          <w:rFonts w:ascii="Calibri" w:hAnsi="Calibri"/>
          <w:bCs/>
          <w:color w:val="000000"/>
          <w:kern w:val="24"/>
        </w:rPr>
        <w:t xml:space="preserve">. </w:t>
      </w:r>
      <w:r w:rsidR="003A55D8">
        <w:rPr>
          <w:rFonts w:ascii="Calibri" w:hAnsi="Calibri"/>
          <w:bCs/>
          <w:color w:val="000000"/>
          <w:kern w:val="24"/>
        </w:rPr>
        <w:t xml:space="preserve">In this case, per-link resource configurations exchanged between the parents can be used to override the </w:t>
      </w:r>
      <w:r w:rsidR="0088790E">
        <w:rPr>
          <w:rFonts w:ascii="Calibri" w:hAnsi="Calibri"/>
          <w:bCs/>
          <w:color w:val="000000"/>
          <w:kern w:val="24"/>
        </w:rPr>
        <w:t xml:space="preserve">legacy </w:t>
      </w:r>
      <w:r w:rsidR="003A55D8">
        <w:rPr>
          <w:rFonts w:ascii="Calibri" w:hAnsi="Calibri"/>
          <w:bCs/>
          <w:color w:val="000000"/>
          <w:kern w:val="24"/>
        </w:rPr>
        <w:t xml:space="preserve">per-DU configurations to avoid severe resource restrictions and overhead. </w:t>
      </w:r>
      <w:r w:rsidR="00EB0B67">
        <w:rPr>
          <w:rFonts w:ascii="Calibri" w:hAnsi="Calibri"/>
          <w:bCs/>
          <w:color w:val="000000"/>
          <w:kern w:val="24"/>
        </w:rPr>
        <w:t xml:space="preserve">For example, both parent IAB-DUs may be allocated with a hard resource </w:t>
      </w:r>
      <w:proofErr w:type="gramStart"/>
      <w:r w:rsidR="00EB0B67">
        <w:rPr>
          <w:rFonts w:ascii="Calibri" w:hAnsi="Calibri"/>
          <w:bCs/>
          <w:color w:val="000000"/>
          <w:kern w:val="24"/>
        </w:rPr>
        <w:t>in a given</w:t>
      </w:r>
      <w:proofErr w:type="gramEnd"/>
      <w:r w:rsidR="00EB0B67">
        <w:rPr>
          <w:rFonts w:ascii="Calibri" w:hAnsi="Calibri"/>
          <w:bCs/>
          <w:color w:val="000000"/>
          <w:kern w:val="24"/>
        </w:rPr>
        <w:t xml:space="preserve"> slot, however due to multiplexing constraints at the child node, if both parents were to schedule the same child IAB-MT a resource conflict would result, preventing successful reception of both parent transmissions. Instead if one parent is allocated with a NA resource, for the specific child IAB-MT link, it will not transmit or receive in that resource towards the child IAB-MT and can use the resource for other child IAB nodes or access UEs. This is much more efficient than configuring the entire IAB-DU configuration as NA, which would prevent all transmission or reception from that IAB node in that resource. </w:t>
      </w:r>
    </w:p>
    <w:p w14:paraId="4AD4B21E" w14:textId="74D9A533" w:rsidR="00EB0B67" w:rsidRDefault="00145AF8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  <w:r>
        <w:rPr>
          <w:rFonts w:ascii="Calibri" w:hAnsi="Calibri"/>
          <w:bCs/>
          <w:color w:val="000000"/>
          <w:kern w:val="24"/>
        </w:rPr>
        <w:t xml:space="preserve">To reduce the signaling overhead, the per-link resource configuration only needs to be provided for NA resources which override the existing DU H/S/NA configuration. </w:t>
      </w:r>
      <w:r w:rsidR="004160C4">
        <w:rPr>
          <w:rFonts w:ascii="Calibri" w:hAnsi="Calibri"/>
          <w:bCs/>
          <w:color w:val="000000"/>
          <w:kern w:val="24"/>
        </w:rPr>
        <w:t xml:space="preserve">In this case, delta signaling from the resource configuration provided in </w:t>
      </w:r>
      <w:proofErr w:type="spellStart"/>
      <w:r w:rsidR="004160C4">
        <w:rPr>
          <w:rFonts w:ascii="Calibri" w:hAnsi="Calibri"/>
        </w:rPr>
        <w:t>gNB</w:t>
      </w:r>
      <w:proofErr w:type="spellEnd"/>
      <w:r w:rsidR="004160C4">
        <w:rPr>
          <w:rFonts w:ascii="Calibri" w:hAnsi="Calibri"/>
        </w:rPr>
        <w:t>-DU Cell Resource Configuration can be used</w:t>
      </w:r>
      <w:r w:rsidR="00851DF4">
        <w:rPr>
          <w:rFonts w:ascii="Calibri" w:hAnsi="Calibri"/>
        </w:rPr>
        <w:t xml:space="preserve">. In </w:t>
      </w:r>
      <w:r w:rsidR="00851DF4" w:rsidRPr="001B1BEF">
        <w:rPr>
          <w:rFonts w:ascii="Calibri" w:hAnsi="Calibri"/>
          <w:bCs/>
          <w:color w:val="000000"/>
          <w:kern w:val="24"/>
        </w:rPr>
        <w:t xml:space="preserve">addition, </w:t>
      </w:r>
      <w:r w:rsidR="001D1D66" w:rsidRPr="001B1BEF">
        <w:rPr>
          <w:rFonts w:ascii="Calibri" w:hAnsi="Calibri"/>
          <w:bCs/>
          <w:color w:val="000000"/>
          <w:kern w:val="24"/>
        </w:rPr>
        <w:t xml:space="preserve">it is also possible that multiple child nodes have a similar multi-parent topology </w:t>
      </w:r>
      <w:r w:rsidR="00EB0B67">
        <w:rPr>
          <w:rFonts w:ascii="Calibri" w:hAnsi="Calibri"/>
          <w:bCs/>
          <w:color w:val="000000"/>
          <w:kern w:val="24"/>
        </w:rPr>
        <w:t xml:space="preserve">configured </w:t>
      </w:r>
      <w:r w:rsidR="001B1BEF" w:rsidRPr="001B1BEF">
        <w:rPr>
          <w:rFonts w:ascii="Calibri" w:hAnsi="Calibri"/>
          <w:bCs/>
          <w:color w:val="000000"/>
          <w:kern w:val="24"/>
        </w:rPr>
        <w:t xml:space="preserve">for link robustness or load balancing in DC scenarios. In this case, multiple child IAB nodes may be subject to the </w:t>
      </w:r>
      <w:r w:rsidR="00F7504D">
        <w:rPr>
          <w:rFonts w:ascii="Calibri" w:hAnsi="Calibri"/>
          <w:bCs/>
          <w:color w:val="000000"/>
          <w:kern w:val="24"/>
        </w:rPr>
        <w:t xml:space="preserve">same </w:t>
      </w:r>
      <w:r w:rsidR="001B1BEF" w:rsidRPr="001B1BEF">
        <w:rPr>
          <w:rFonts w:ascii="Calibri" w:hAnsi="Calibri"/>
          <w:bCs/>
          <w:color w:val="000000"/>
          <w:kern w:val="24"/>
        </w:rPr>
        <w:t>per-</w:t>
      </w:r>
      <w:r w:rsidR="00EB0B67">
        <w:rPr>
          <w:rFonts w:ascii="Calibri" w:hAnsi="Calibri"/>
          <w:bCs/>
          <w:color w:val="000000"/>
          <w:kern w:val="24"/>
        </w:rPr>
        <w:t>link</w:t>
      </w:r>
      <w:r w:rsidR="00EB0B67" w:rsidRPr="001B1BEF">
        <w:rPr>
          <w:rFonts w:ascii="Calibri" w:hAnsi="Calibri"/>
          <w:bCs/>
          <w:color w:val="000000"/>
          <w:kern w:val="24"/>
        </w:rPr>
        <w:t xml:space="preserve"> </w:t>
      </w:r>
      <w:r w:rsidR="001B1BEF" w:rsidRPr="001B1BEF">
        <w:rPr>
          <w:rFonts w:ascii="Calibri" w:hAnsi="Calibri"/>
          <w:bCs/>
          <w:color w:val="000000"/>
          <w:kern w:val="24"/>
        </w:rPr>
        <w:t>NA resource configuration</w:t>
      </w:r>
      <w:r w:rsidR="00EB0B67">
        <w:rPr>
          <w:rFonts w:ascii="Calibri" w:hAnsi="Calibri"/>
          <w:bCs/>
          <w:color w:val="000000"/>
          <w:kern w:val="24"/>
        </w:rPr>
        <w:t xml:space="preserve"> at the parent</w:t>
      </w:r>
      <w:r w:rsidR="00F7504D">
        <w:rPr>
          <w:rFonts w:ascii="Calibri" w:hAnsi="Calibri"/>
          <w:bCs/>
          <w:color w:val="000000"/>
          <w:kern w:val="24"/>
        </w:rPr>
        <w:t xml:space="preserve">. To reduce signaling overhead in this case, the </w:t>
      </w:r>
      <w:r w:rsidR="00F7504D" w:rsidRPr="00882F81">
        <w:rPr>
          <w:rFonts w:ascii="Calibri" w:hAnsi="Calibri"/>
          <w:bCs/>
          <w:color w:val="000000"/>
          <w:kern w:val="24"/>
        </w:rPr>
        <w:t xml:space="preserve">per-child MT link-NA resource configuration can be provided with a list of associated child </w:t>
      </w:r>
      <w:r w:rsidR="00521008" w:rsidRPr="00882F81">
        <w:rPr>
          <w:rFonts w:ascii="Calibri" w:hAnsi="Calibri"/>
          <w:bCs/>
          <w:color w:val="000000"/>
          <w:kern w:val="24"/>
        </w:rPr>
        <w:t>IAB-</w:t>
      </w:r>
      <w:r w:rsidR="00F7504D" w:rsidRPr="00882F81">
        <w:rPr>
          <w:rFonts w:ascii="Calibri" w:hAnsi="Calibri"/>
          <w:bCs/>
          <w:color w:val="000000"/>
          <w:kern w:val="24"/>
        </w:rPr>
        <w:t>MT ID</w:t>
      </w:r>
      <w:r w:rsidR="00882F81">
        <w:rPr>
          <w:rFonts w:ascii="Calibri" w:hAnsi="Calibri"/>
          <w:bCs/>
          <w:color w:val="000000"/>
          <w:kern w:val="24"/>
        </w:rPr>
        <w:t>s</w:t>
      </w:r>
      <w:r w:rsidR="006E335C">
        <w:rPr>
          <w:rFonts w:ascii="Calibri" w:hAnsi="Calibri"/>
          <w:bCs/>
          <w:color w:val="000000"/>
          <w:kern w:val="24"/>
        </w:rPr>
        <w:t xml:space="preserve"> (e.g. </w:t>
      </w:r>
      <w:proofErr w:type="spellStart"/>
      <w:r w:rsidR="006E335C" w:rsidRPr="006E335C">
        <w:rPr>
          <w:rFonts w:ascii="Calibri" w:hAnsi="Calibri"/>
          <w:bCs/>
          <w:color w:val="000000"/>
          <w:kern w:val="24"/>
        </w:rPr>
        <w:t>gNB</w:t>
      </w:r>
      <w:proofErr w:type="spellEnd"/>
      <w:r w:rsidR="006E335C" w:rsidRPr="006E335C">
        <w:rPr>
          <w:rFonts w:ascii="Calibri" w:hAnsi="Calibri"/>
          <w:bCs/>
          <w:color w:val="000000"/>
          <w:kern w:val="24"/>
        </w:rPr>
        <w:t>-DU UE F1AP ID)</w:t>
      </w:r>
      <w:r w:rsidR="00882F81">
        <w:rPr>
          <w:rFonts w:ascii="Calibri" w:hAnsi="Calibri"/>
          <w:bCs/>
          <w:color w:val="000000"/>
          <w:kern w:val="24"/>
        </w:rPr>
        <w:t>.</w:t>
      </w:r>
    </w:p>
    <w:p w14:paraId="25FF0466" w14:textId="77777777" w:rsidR="00EB0B67" w:rsidRDefault="00EB0B67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</w:p>
    <w:p w14:paraId="76D3D81D" w14:textId="352F2891" w:rsidR="00EB43C4" w:rsidRPr="00EB0B67" w:rsidRDefault="00DF4D39" w:rsidP="00EB0B67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>Proposal</w:t>
      </w:r>
      <w:r w:rsidR="00A34D97">
        <w:rPr>
          <w:rFonts w:ascii="Calibri" w:hAnsi="Calibri"/>
          <w:b/>
          <w:color w:val="000000"/>
          <w:kern w:val="24"/>
        </w:rPr>
        <w:t xml:space="preserve"> </w:t>
      </w:r>
      <w:r w:rsidR="0088790E">
        <w:rPr>
          <w:rFonts w:ascii="Calibri" w:hAnsi="Calibri"/>
          <w:b/>
          <w:color w:val="000000"/>
          <w:kern w:val="24"/>
        </w:rPr>
        <w:t>2</w:t>
      </w:r>
      <w:r>
        <w:rPr>
          <w:rFonts w:ascii="Calibri" w:hAnsi="Calibri"/>
          <w:b/>
          <w:color w:val="000000"/>
          <w:kern w:val="24"/>
        </w:rPr>
        <w:t>: Per-</w:t>
      </w:r>
      <w:r w:rsidR="00F76E4D">
        <w:rPr>
          <w:rFonts w:ascii="Calibri" w:hAnsi="Calibri"/>
          <w:b/>
          <w:color w:val="000000"/>
          <w:kern w:val="24"/>
        </w:rPr>
        <w:t>child MT</w:t>
      </w:r>
      <w:r>
        <w:rPr>
          <w:rFonts w:ascii="Calibri" w:hAnsi="Calibri"/>
          <w:b/>
          <w:color w:val="000000"/>
          <w:kern w:val="24"/>
        </w:rPr>
        <w:t xml:space="preserve"> link</w:t>
      </w:r>
      <w:r w:rsidR="00F76E4D">
        <w:rPr>
          <w:rFonts w:ascii="Calibri" w:hAnsi="Calibri"/>
          <w:b/>
          <w:color w:val="000000"/>
          <w:kern w:val="24"/>
        </w:rPr>
        <w:t>-</w:t>
      </w:r>
      <w:r w:rsidR="00145AF8">
        <w:rPr>
          <w:rFonts w:ascii="Calibri" w:hAnsi="Calibri"/>
          <w:b/>
          <w:color w:val="000000"/>
          <w:kern w:val="24"/>
        </w:rPr>
        <w:t xml:space="preserve">NA </w:t>
      </w:r>
      <w:r>
        <w:rPr>
          <w:rFonts w:ascii="Calibri" w:hAnsi="Calibri"/>
          <w:b/>
          <w:color w:val="000000"/>
          <w:kern w:val="24"/>
        </w:rPr>
        <w:t xml:space="preserve">resource configurations </w:t>
      </w:r>
      <w:r w:rsidR="00145AF8">
        <w:rPr>
          <w:rFonts w:ascii="Calibri" w:hAnsi="Calibri"/>
          <w:b/>
          <w:color w:val="000000"/>
          <w:kern w:val="24"/>
        </w:rPr>
        <w:t xml:space="preserve">can </w:t>
      </w:r>
      <w:r w:rsidR="00B9175B">
        <w:rPr>
          <w:rFonts w:ascii="Calibri" w:hAnsi="Calibri"/>
          <w:b/>
          <w:color w:val="000000"/>
          <w:kern w:val="24"/>
        </w:rPr>
        <w:t>be provided by the donor CU to a</w:t>
      </w:r>
      <w:r w:rsidR="00521008">
        <w:rPr>
          <w:rFonts w:ascii="Calibri" w:hAnsi="Calibri"/>
          <w:b/>
          <w:color w:val="000000"/>
          <w:kern w:val="24"/>
        </w:rPr>
        <w:t xml:space="preserve"> parent and child</w:t>
      </w:r>
      <w:r w:rsidR="00B9175B">
        <w:rPr>
          <w:rFonts w:ascii="Calibri" w:hAnsi="Calibri"/>
          <w:b/>
          <w:color w:val="000000"/>
          <w:kern w:val="24"/>
        </w:rPr>
        <w:t xml:space="preserve"> IAB-DU via</w:t>
      </w:r>
      <w:r w:rsidR="00521008">
        <w:rPr>
          <w:rFonts w:ascii="Calibri" w:hAnsi="Calibri"/>
          <w:b/>
          <w:color w:val="000000"/>
          <w:kern w:val="24"/>
        </w:rPr>
        <w:t xml:space="preserve"> delta signaling of the time domain configuration in</w:t>
      </w:r>
      <w:r w:rsidR="00961159">
        <w:rPr>
          <w:rFonts w:ascii="Calibri" w:hAnsi="Calibri"/>
          <w:b/>
          <w:color w:val="000000"/>
          <w:kern w:val="24"/>
        </w:rPr>
        <w:t xml:space="preserve"> the</w:t>
      </w:r>
      <w:r w:rsidR="00521008">
        <w:rPr>
          <w:rFonts w:ascii="Calibri" w:hAnsi="Calibri"/>
          <w:b/>
          <w:color w:val="000000"/>
          <w:kern w:val="24"/>
        </w:rPr>
        <w:t xml:space="preserve"> </w:t>
      </w:r>
      <w:proofErr w:type="spellStart"/>
      <w:r w:rsidR="00521008" w:rsidRPr="00961159">
        <w:rPr>
          <w:rFonts w:ascii="Calibri" w:hAnsi="Calibri"/>
          <w:b/>
          <w:color w:val="000000"/>
          <w:kern w:val="24"/>
        </w:rPr>
        <w:t>gNB</w:t>
      </w:r>
      <w:proofErr w:type="spellEnd"/>
      <w:r w:rsidR="00521008" w:rsidRPr="00961159">
        <w:rPr>
          <w:rFonts w:ascii="Calibri" w:hAnsi="Calibri"/>
          <w:b/>
          <w:color w:val="000000"/>
          <w:kern w:val="24"/>
        </w:rPr>
        <w:t>-DU Cell Resource Configuration which also includes a list of associated child IAB-MT IDs</w:t>
      </w:r>
      <w:r>
        <w:rPr>
          <w:rFonts w:ascii="Calibri" w:hAnsi="Calibri"/>
          <w:b/>
          <w:color w:val="000000"/>
          <w:kern w:val="24"/>
        </w:rPr>
        <w:t xml:space="preserve">. </w:t>
      </w:r>
    </w:p>
    <w:p w14:paraId="3FB425AE" w14:textId="77777777" w:rsidR="007338D6" w:rsidRPr="00172743" w:rsidRDefault="003A566A" w:rsidP="00326FF6">
      <w:pPr>
        <w:pStyle w:val="Heading1"/>
      </w:pPr>
      <w:r w:rsidRPr="00172743">
        <w:lastRenderedPageBreak/>
        <w:t>Conclusion</w:t>
      </w:r>
    </w:p>
    <w:p w14:paraId="7D164CD0" w14:textId="5F091124" w:rsidR="00843F1C" w:rsidRDefault="00843F1C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</w:t>
      </w:r>
      <w:r w:rsidR="00C724F1">
        <w:rPr>
          <w:rFonts w:ascii="Calibri" w:hAnsi="Calibri"/>
        </w:rPr>
        <w:t xml:space="preserve">potential </w:t>
      </w:r>
      <w:r w:rsidR="00C6348F">
        <w:rPr>
          <w:rFonts w:ascii="Calibri" w:hAnsi="Calibri"/>
        </w:rPr>
        <w:t>signaling</w:t>
      </w:r>
      <w:r w:rsidR="00C724F1">
        <w:rPr>
          <w:rFonts w:ascii="Calibri" w:hAnsi="Calibri"/>
        </w:rPr>
        <w:t xml:space="preserve"> enhancements</w:t>
      </w:r>
      <w:r w:rsidR="00DD3971">
        <w:rPr>
          <w:rFonts w:ascii="Calibri" w:hAnsi="Calibri"/>
        </w:rPr>
        <w:t xml:space="preserve"> for</w:t>
      </w:r>
      <w:r w:rsidR="003A553B">
        <w:rPr>
          <w:rFonts w:ascii="Calibri" w:hAnsi="Calibri"/>
        </w:rPr>
        <w:t xml:space="preserve"> </w:t>
      </w:r>
      <w:r w:rsidR="00C724F1">
        <w:rPr>
          <w:rFonts w:ascii="Calibri" w:hAnsi="Calibri"/>
        </w:rPr>
        <w:t>IAB</w:t>
      </w:r>
      <w:r w:rsidR="00B413E7">
        <w:rPr>
          <w:rFonts w:ascii="Calibri" w:hAnsi="Calibri"/>
        </w:rPr>
        <w:t xml:space="preserve"> resource allocation and multiplexing in Rel-17</w:t>
      </w:r>
      <w:r w:rsidR="00E604D6">
        <w:rPr>
          <w:rFonts w:ascii="Calibri" w:hAnsi="Calibri"/>
        </w:rPr>
        <w:t>. The following proposals were made</w:t>
      </w:r>
      <w:r>
        <w:rPr>
          <w:rFonts w:ascii="Calibri" w:hAnsi="Calibri"/>
        </w:rPr>
        <w:t>:</w:t>
      </w:r>
    </w:p>
    <w:p w14:paraId="440209D1" w14:textId="77777777" w:rsidR="00C6348F" w:rsidRDefault="00C6348F" w:rsidP="00C6348F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 w:rsidRPr="00AD1F94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1</w:t>
      </w:r>
      <w:r w:rsidRPr="00AD1F94">
        <w:rPr>
          <w:rFonts w:ascii="Calibri" w:hAnsi="Calibri"/>
          <w:b/>
          <w:bCs/>
          <w:color w:val="000000"/>
          <w:kern w:val="24"/>
        </w:rPr>
        <w:t xml:space="preserve">: </w:t>
      </w:r>
      <w:r>
        <w:rPr>
          <w:rFonts w:ascii="Calibri" w:hAnsi="Calibri"/>
          <w:b/>
          <w:bCs/>
          <w:color w:val="000000"/>
          <w:kern w:val="24"/>
        </w:rPr>
        <w:t xml:space="preserve">The 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frequency-domain H/S/NA configuration </w:t>
      </w:r>
      <w:r>
        <w:rPr>
          <w:rFonts w:ascii="Calibri" w:hAnsi="Calibri"/>
          <w:b/>
          <w:bCs/>
          <w:color w:val="000000"/>
          <w:kern w:val="24"/>
        </w:rPr>
        <w:t xml:space="preserve">of an IAB-DU provided by the donor CU can be updated via delta signalling for RB sets in a given slot which have a different H/S/NA resource type from the corresponding time domain H/S/NA configuration in the </w:t>
      </w:r>
      <w:proofErr w:type="spellStart"/>
      <w:r w:rsidRPr="006C1A68">
        <w:rPr>
          <w:rFonts w:ascii="Calibri" w:hAnsi="Calibri"/>
          <w:b/>
          <w:bCs/>
          <w:color w:val="000000"/>
          <w:kern w:val="24"/>
        </w:rPr>
        <w:t>gNB</w:t>
      </w:r>
      <w:proofErr w:type="spellEnd"/>
      <w:r w:rsidRPr="006C1A68">
        <w:rPr>
          <w:rFonts w:ascii="Calibri" w:hAnsi="Calibri"/>
          <w:b/>
          <w:bCs/>
          <w:color w:val="000000"/>
          <w:kern w:val="24"/>
        </w:rPr>
        <w:t>-DU Cell Resource Configuration</w:t>
      </w:r>
      <w:r>
        <w:rPr>
          <w:rFonts w:ascii="Calibri" w:hAnsi="Calibri"/>
          <w:b/>
          <w:bCs/>
          <w:color w:val="000000"/>
          <w:kern w:val="24"/>
        </w:rPr>
        <w:t>.</w:t>
      </w:r>
    </w:p>
    <w:p w14:paraId="5FD9B0BB" w14:textId="4E5FAB1A" w:rsidR="00FB4D8F" w:rsidRDefault="00FB4D8F" w:rsidP="00FB4D8F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 xml:space="preserve">Proposal 2: Per-child MT link-NA resource configurations can be provided by the donor CU to a parent and child IAB-DU via delta signaling of the time domain configuration in the </w:t>
      </w:r>
      <w:proofErr w:type="spellStart"/>
      <w:r w:rsidRPr="00961159">
        <w:rPr>
          <w:rFonts w:ascii="Calibri" w:hAnsi="Calibri"/>
          <w:b/>
          <w:color w:val="000000"/>
          <w:kern w:val="24"/>
        </w:rPr>
        <w:t>gNB</w:t>
      </w:r>
      <w:proofErr w:type="spellEnd"/>
      <w:r w:rsidRPr="00961159">
        <w:rPr>
          <w:rFonts w:ascii="Calibri" w:hAnsi="Calibri"/>
          <w:b/>
          <w:color w:val="000000"/>
          <w:kern w:val="24"/>
        </w:rPr>
        <w:t xml:space="preserve">-DU Cell Resource Configuration which also includes a list of associated child IAB-MT </w:t>
      </w:r>
      <w:r w:rsidR="006E335C" w:rsidRPr="006E335C">
        <w:rPr>
          <w:rFonts w:ascii="Calibri" w:hAnsi="Calibri"/>
          <w:b/>
          <w:color w:val="000000"/>
          <w:kern w:val="24"/>
        </w:rPr>
        <w:t xml:space="preserve">IDs (e.g. </w:t>
      </w:r>
      <w:proofErr w:type="spellStart"/>
      <w:r w:rsidR="006E335C" w:rsidRPr="006E335C">
        <w:rPr>
          <w:rFonts w:ascii="Calibri" w:hAnsi="Calibri"/>
          <w:b/>
          <w:color w:val="000000"/>
          <w:kern w:val="24"/>
        </w:rPr>
        <w:t>gNB</w:t>
      </w:r>
      <w:proofErr w:type="spellEnd"/>
      <w:r w:rsidR="006E335C" w:rsidRPr="006E335C">
        <w:rPr>
          <w:rFonts w:ascii="Calibri" w:hAnsi="Calibri"/>
          <w:b/>
          <w:color w:val="000000"/>
          <w:kern w:val="24"/>
        </w:rPr>
        <w:t>-DU UE F1AP ID).</w:t>
      </w:r>
    </w:p>
    <w:p w14:paraId="6CDAECC3" w14:textId="77777777" w:rsidR="00B413E7" w:rsidRDefault="00B413E7" w:rsidP="00172743">
      <w:pPr>
        <w:spacing w:before="0" w:after="0"/>
        <w:rPr>
          <w:rFonts w:ascii="Calibri" w:hAnsi="Calibri"/>
        </w:rPr>
      </w:pPr>
    </w:p>
    <w:p w14:paraId="5DD1BD4D" w14:textId="77777777" w:rsidR="00FE6C15" w:rsidRPr="0076067D" w:rsidRDefault="00FE6C15" w:rsidP="0076067D">
      <w:pPr>
        <w:pStyle w:val="Heading1"/>
      </w:pPr>
      <w:r>
        <w:t>Reference</w:t>
      </w:r>
    </w:p>
    <w:p w14:paraId="3C56C6DE" w14:textId="77777777" w:rsidR="003E2D9B" w:rsidRPr="0098270C" w:rsidRDefault="003E2D9B" w:rsidP="003E2D9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RP-201293 New</w:t>
      </w:r>
      <w:r w:rsidRPr="004131D6">
        <w:rPr>
          <w:rFonts w:cs="Times New Roman"/>
          <w:lang w:eastAsia="ko-KR"/>
        </w:rPr>
        <w:t xml:space="preserve"> WID</w:t>
      </w:r>
      <w:r>
        <w:rPr>
          <w:rFonts w:cs="Times New Roman"/>
          <w:lang w:eastAsia="ko-KR"/>
        </w:rPr>
        <w:t xml:space="preserve"> on Enhancements to</w:t>
      </w:r>
      <w:r w:rsidRPr="004131D6">
        <w:rPr>
          <w:rFonts w:cs="Times New Roman"/>
          <w:lang w:eastAsia="ko-KR"/>
        </w:rPr>
        <w:t xml:space="preserve"> Integrated Access and Backhau</w:t>
      </w:r>
      <w:r>
        <w:rPr>
          <w:rFonts w:cs="Times New Roman"/>
          <w:lang w:eastAsia="ko-KR"/>
        </w:rPr>
        <w:t>l, Qualcomm</w:t>
      </w:r>
    </w:p>
    <w:p w14:paraId="191280AA" w14:textId="77777777" w:rsidR="00FE6C15" w:rsidRPr="00B12672" w:rsidRDefault="00FE6C15" w:rsidP="00172743">
      <w:pPr>
        <w:spacing w:before="0" w:after="0"/>
        <w:rPr>
          <w:rFonts w:ascii="Calibri" w:hAnsi="Calibri" w:cs="Arial"/>
          <w:b/>
        </w:rPr>
      </w:pPr>
    </w:p>
    <w:sectPr w:rsidR="00FE6C15" w:rsidRPr="00B1267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39E13" w14:textId="77777777" w:rsidR="00E037C9" w:rsidRDefault="00E037C9" w:rsidP="00424124">
      <w:pPr>
        <w:spacing w:before="0" w:after="0"/>
      </w:pPr>
      <w:r>
        <w:separator/>
      </w:r>
    </w:p>
  </w:endnote>
  <w:endnote w:type="continuationSeparator" w:id="0">
    <w:p w14:paraId="42DDF444" w14:textId="77777777" w:rsidR="00E037C9" w:rsidRDefault="00E037C9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F17A3" w14:textId="77777777" w:rsidR="00E037C9" w:rsidRDefault="00E037C9" w:rsidP="00424124">
      <w:pPr>
        <w:spacing w:before="0" w:after="0"/>
      </w:pPr>
      <w:r>
        <w:separator/>
      </w:r>
    </w:p>
  </w:footnote>
  <w:footnote w:type="continuationSeparator" w:id="0">
    <w:p w14:paraId="0D3A2C81" w14:textId="77777777" w:rsidR="00E037C9" w:rsidRDefault="00E037C9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A8B"/>
    <w:multiLevelType w:val="hybridMultilevel"/>
    <w:tmpl w:val="131E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90ACA"/>
    <w:multiLevelType w:val="multilevel"/>
    <w:tmpl w:val="0B90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86450"/>
    <w:multiLevelType w:val="hybridMultilevel"/>
    <w:tmpl w:val="F470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86997"/>
    <w:multiLevelType w:val="hybridMultilevel"/>
    <w:tmpl w:val="337CA4E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4503B"/>
    <w:multiLevelType w:val="hybridMultilevel"/>
    <w:tmpl w:val="39B4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74757A2F"/>
    <w:multiLevelType w:val="hybridMultilevel"/>
    <w:tmpl w:val="15522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1"/>
  </w:num>
  <w:num w:numId="4">
    <w:abstractNumId w:val="0"/>
  </w:num>
  <w:num w:numId="5">
    <w:abstractNumId w:val="10"/>
  </w:num>
  <w:num w:numId="6">
    <w:abstractNumId w:val="16"/>
  </w:num>
  <w:num w:numId="7">
    <w:abstractNumId w:val="18"/>
  </w:num>
  <w:num w:numId="8">
    <w:abstractNumId w:val="14"/>
  </w:num>
  <w:num w:numId="9">
    <w:abstractNumId w:val="8"/>
  </w:num>
  <w:num w:numId="10">
    <w:abstractNumId w:val="8"/>
  </w:num>
  <w:num w:numId="11">
    <w:abstractNumId w:val="24"/>
  </w:num>
  <w:num w:numId="12">
    <w:abstractNumId w:val="4"/>
  </w:num>
  <w:num w:numId="13">
    <w:abstractNumId w:val="13"/>
  </w:num>
  <w:num w:numId="14">
    <w:abstractNumId w:val="1"/>
  </w:num>
  <w:num w:numId="15">
    <w:abstractNumId w:val="15"/>
  </w:num>
  <w:num w:numId="16">
    <w:abstractNumId w:val="9"/>
  </w:num>
  <w:num w:numId="17">
    <w:abstractNumId w:val="19"/>
  </w:num>
  <w:num w:numId="18">
    <w:abstractNumId w:val="12"/>
  </w:num>
  <w:num w:numId="19">
    <w:abstractNumId w:val="22"/>
  </w:num>
  <w:num w:numId="20">
    <w:abstractNumId w:val="7"/>
  </w:num>
  <w:num w:numId="21">
    <w:abstractNumId w:val="23"/>
  </w:num>
  <w:num w:numId="22">
    <w:abstractNumId w:val="3"/>
  </w:num>
  <w:num w:numId="23">
    <w:abstractNumId w:val="25"/>
  </w:num>
  <w:num w:numId="24">
    <w:abstractNumId w:val="26"/>
  </w:num>
  <w:num w:numId="25">
    <w:abstractNumId w:val="17"/>
  </w:num>
  <w:num w:numId="26">
    <w:abstractNumId w:val="20"/>
  </w:num>
  <w:num w:numId="27">
    <w:abstractNumId w:val="2"/>
  </w:num>
  <w:num w:numId="2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165BE"/>
    <w:rsid w:val="00020F1A"/>
    <w:rsid w:val="000254B8"/>
    <w:rsid w:val="00032D47"/>
    <w:rsid w:val="000462C4"/>
    <w:rsid w:val="000463E4"/>
    <w:rsid w:val="00051B4B"/>
    <w:rsid w:val="00051EBB"/>
    <w:rsid w:val="000550BC"/>
    <w:rsid w:val="00057E9B"/>
    <w:rsid w:val="000643FA"/>
    <w:rsid w:val="000730C9"/>
    <w:rsid w:val="0007575F"/>
    <w:rsid w:val="00075B2C"/>
    <w:rsid w:val="00075FD1"/>
    <w:rsid w:val="00077319"/>
    <w:rsid w:val="00077712"/>
    <w:rsid w:val="00085800"/>
    <w:rsid w:val="000865E3"/>
    <w:rsid w:val="000917C5"/>
    <w:rsid w:val="00093E00"/>
    <w:rsid w:val="0009773A"/>
    <w:rsid w:val="00097DC6"/>
    <w:rsid w:val="000A36A9"/>
    <w:rsid w:val="000B0720"/>
    <w:rsid w:val="000B58AF"/>
    <w:rsid w:val="000B6D99"/>
    <w:rsid w:val="000C21D0"/>
    <w:rsid w:val="000C57B9"/>
    <w:rsid w:val="000D0AF0"/>
    <w:rsid w:val="000D2666"/>
    <w:rsid w:val="000D38DC"/>
    <w:rsid w:val="000E29D8"/>
    <w:rsid w:val="000E6E0A"/>
    <w:rsid w:val="000F4CF8"/>
    <w:rsid w:val="000F7822"/>
    <w:rsid w:val="0010303E"/>
    <w:rsid w:val="0011327D"/>
    <w:rsid w:val="00116DA6"/>
    <w:rsid w:val="00127590"/>
    <w:rsid w:val="00137E15"/>
    <w:rsid w:val="001417A8"/>
    <w:rsid w:val="00145AF8"/>
    <w:rsid w:val="00153793"/>
    <w:rsid w:val="00172743"/>
    <w:rsid w:val="00175301"/>
    <w:rsid w:val="0019102C"/>
    <w:rsid w:val="001A5A68"/>
    <w:rsid w:val="001A6212"/>
    <w:rsid w:val="001A75E0"/>
    <w:rsid w:val="001B1BEF"/>
    <w:rsid w:val="001B731B"/>
    <w:rsid w:val="001C2370"/>
    <w:rsid w:val="001C4ACE"/>
    <w:rsid w:val="001C699C"/>
    <w:rsid w:val="001D00E7"/>
    <w:rsid w:val="001D1D66"/>
    <w:rsid w:val="001E0CE1"/>
    <w:rsid w:val="001E58CC"/>
    <w:rsid w:val="001F2A01"/>
    <w:rsid w:val="001F59ED"/>
    <w:rsid w:val="001F752C"/>
    <w:rsid w:val="00211D37"/>
    <w:rsid w:val="00212204"/>
    <w:rsid w:val="00216763"/>
    <w:rsid w:val="00222269"/>
    <w:rsid w:val="00222811"/>
    <w:rsid w:val="00225464"/>
    <w:rsid w:val="00233D70"/>
    <w:rsid w:val="00235373"/>
    <w:rsid w:val="00242080"/>
    <w:rsid w:val="00246D61"/>
    <w:rsid w:val="0024786A"/>
    <w:rsid w:val="0025058B"/>
    <w:rsid w:val="00251D74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818EB"/>
    <w:rsid w:val="0029147A"/>
    <w:rsid w:val="00296843"/>
    <w:rsid w:val="00297225"/>
    <w:rsid w:val="002A005E"/>
    <w:rsid w:val="002A0270"/>
    <w:rsid w:val="002A66E2"/>
    <w:rsid w:val="002C0488"/>
    <w:rsid w:val="002C4097"/>
    <w:rsid w:val="002C594E"/>
    <w:rsid w:val="002D3D42"/>
    <w:rsid w:val="002D479B"/>
    <w:rsid w:val="002D6EC9"/>
    <w:rsid w:val="002D787B"/>
    <w:rsid w:val="002E188B"/>
    <w:rsid w:val="0030474D"/>
    <w:rsid w:val="00315DC4"/>
    <w:rsid w:val="00317020"/>
    <w:rsid w:val="00320B4D"/>
    <w:rsid w:val="00321379"/>
    <w:rsid w:val="00326FF6"/>
    <w:rsid w:val="00327A22"/>
    <w:rsid w:val="00332BB8"/>
    <w:rsid w:val="0033513A"/>
    <w:rsid w:val="003406A0"/>
    <w:rsid w:val="00342130"/>
    <w:rsid w:val="00346605"/>
    <w:rsid w:val="0035318F"/>
    <w:rsid w:val="00354C01"/>
    <w:rsid w:val="0036306A"/>
    <w:rsid w:val="00364F89"/>
    <w:rsid w:val="003727DB"/>
    <w:rsid w:val="00386642"/>
    <w:rsid w:val="00392176"/>
    <w:rsid w:val="003921D6"/>
    <w:rsid w:val="003A298A"/>
    <w:rsid w:val="003A553B"/>
    <w:rsid w:val="003A55D8"/>
    <w:rsid w:val="003A566A"/>
    <w:rsid w:val="003B1EC9"/>
    <w:rsid w:val="003C20FC"/>
    <w:rsid w:val="003C2392"/>
    <w:rsid w:val="003C2E75"/>
    <w:rsid w:val="003E1304"/>
    <w:rsid w:val="003E2D9B"/>
    <w:rsid w:val="003E35D4"/>
    <w:rsid w:val="003E59CC"/>
    <w:rsid w:val="003E7121"/>
    <w:rsid w:val="003F0731"/>
    <w:rsid w:val="003F33B4"/>
    <w:rsid w:val="003F3BF4"/>
    <w:rsid w:val="00405F6D"/>
    <w:rsid w:val="004160C4"/>
    <w:rsid w:val="00424124"/>
    <w:rsid w:val="00434212"/>
    <w:rsid w:val="00440D0C"/>
    <w:rsid w:val="00440F6E"/>
    <w:rsid w:val="00443645"/>
    <w:rsid w:val="00443CD6"/>
    <w:rsid w:val="00445CC3"/>
    <w:rsid w:val="004552C9"/>
    <w:rsid w:val="00457E38"/>
    <w:rsid w:val="004607AC"/>
    <w:rsid w:val="0046127E"/>
    <w:rsid w:val="00466E46"/>
    <w:rsid w:val="004678E1"/>
    <w:rsid w:val="0047294B"/>
    <w:rsid w:val="00473281"/>
    <w:rsid w:val="00473B68"/>
    <w:rsid w:val="0048301B"/>
    <w:rsid w:val="00490285"/>
    <w:rsid w:val="00491509"/>
    <w:rsid w:val="004A5ABE"/>
    <w:rsid w:val="004A6424"/>
    <w:rsid w:val="004A69D0"/>
    <w:rsid w:val="004A6A82"/>
    <w:rsid w:val="004B24D2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453B"/>
    <w:rsid w:val="004D780D"/>
    <w:rsid w:val="004D7CF8"/>
    <w:rsid w:val="004E0967"/>
    <w:rsid w:val="004E6BC0"/>
    <w:rsid w:val="004E6D3B"/>
    <w:rsid w:val="004F00F1"/>
    <w:rsid w:val="005007E9"/>
    <w:rsid w:val="00504C05"/>
    <w:rsid w:val="00504E5F"/>
    <w:rsid w:val="00504E73"/>
    <w:rsid w:val="005055A6"/>
    <w:rsid w:val="00507060"/>
    <w:rsid w:val="0051179B"/>
    <w:rsid w:val="0051424F"/>
    <w:rsid w:val="00521008"/>
    <w:rsid w:val="00523623"/>
    <w:rsid w:val="005300F0"/>
    <w:rsid w:val="005363F5"/>
    <w:rsid w:val="0054560C"/>
    <w:rsid w:val="00545FD3"/>
    <w:rsid w:val="00551172"/>
    <w:rsid w:val="0055464C"/>
    <w:rsid w:val="0056238B"/>
    <w:rsid w:val="00565BDB"/>
    <w:rsid w:val="005666A4"/>
    <w:rsid w:val="00570E7B"/>
    <w:rsid w:val="0057145F"/>
    <w:rsid w:val="005758E7"/>
    <w:rsid w:val="005778C8"/>
    <w:rsid w:val="0058120D"/>
    <w:rsid w:val="00586684"/>
    <w:rsid w:val="00591529"/>
    <w:rsid w:val="005A1A97"/>
    <w:rsid w:val="005B47BD"/>
    <w:rsid w:val="005B6FA6"/>
    <w:rsid w:val="005D2C51"/>
    <w:rsid w:val="005D478D"/>
    <w:rsid w:val="005E7481"/>
    <w:rsid w:val="005F21BF"/>
    <w:rsid w:val="005F613D"/>
    <w:rsid w:val="0060184D"/>
    <w:rsid w:val="00603015"/>
    <w:rsid w:val="0060603E"/>
    <w:rsid w:val="00624F1A"/>
    <w:rsid w:val="006257CE"/>
    <w:rsid w:val="00632789"/>
    <w:rsid w:val="00634707"/>
    <w:rsid w:val="006439F2"/>
    <w:rsid w:val="00644034"/>
    <w:rsid w:val="006477B7"/>
    <w:rsid w:val="00650BA8"/>
    <w:rsid w:val="00652AC8"/>
    <w:rsid w:val="00656C26"/>
    <w:rsid w:val="0066157D"/>
    <w:rsid w:val="0067125A"/>
    <w:rsid w:val="00671E30"/>
    <w:rsid w:val="006756FB"/>
    <w:rsid w:val="00677BD0"/>
    <w:rsid w:val="0068343B"/>
    <w:rsid w:val="00685B82"/>
    <w:rsid w:val="00685E11"/>
    <w:rsid w:val="0069705B"/>
    <w:rsid w:val="006A0EDC"/>
    <w:rsid w:val="006A18DB"/>
    <w:rsid w:val="006A2D2E"/>
    <w:rsid w:val="006B0183"/>
    <w:rsid w:val="006B7A18"/>
    <w:rsid w:val="006C1A68"/>
    <w:rsid w:val="006C1C85"/>
    <w:rsid w:val="006C3240"/>
    <w:rsid w:val="006C452E"/>
    <w:rsid w:val="006D6ABC"/>
    <w:rsid w:val="006E335C"/>
    <w:rsid w:val="006E790B"/>
    <w:rsid w:val="006F055C"/>
    <w:rsid w:val="0070176B"/>
    <w:rsid w:val="00702C40"/>
    <w:rsid w:val="00707D20"/>
    <w:rsid w:val="00710F58"/>
    <w:rsid w:val="00711A9B"/>
    <w:rsid w:val="00714B77"/>
    <w:rsid w:val="00721AD7"/>
    <w:rsid w:val="007225EF"/>
    <w:rsid w:val="00722BA6"/>
    <w:rsid w:val="00723DC5"/>
    <w:rsid w:val="00727952"/>
    <w:rsid w:val="007338D6"/>
    <w:rsid w:val="00740B36"/>
    <w:rsid w:val="00747A6F"/>
    <w:rsid w:val="00750720"/>
    <w:rsid w:val="00754690"/>
    <w:rsid w:val="00754964"/>
    <w:rsid w:val="0075622F"/>
    <w:rsid w:val="0076067D"/>
    <w:rsid w:val="00767078"/>
    <w:rsid w:val="00782CDC"/>
    <w:rsid w:val="007839F9"/>
    <w:rsid w:val="00784132"/>
    <w:rsid w:val="00786229"/>
    <w:rsid w:val="007918E5"/>
    <w:rsid w:val="00791D57"/>
    <w:rsid w:val="007A133A"/>
    <w:rsid w:val="007A2765"/>
    <w:rsid w:val="007B0F07"/>
    <w:rsid w:val="007B13E5"/>
    <w:rsid w:val="007B2F6B"/>
    <w:rsid w:val="007B473A"/>
    <w:rsid w:val="007B566C"/>
    <w:rsid w:val="007D0BB2"/>
    <w:rsid w:val="007D2C48"/>
    <w:rsid w:val="007E39DD"/>
    <w:rsid w:val="007E546F"/>
    <w:rsid w:val="007F0AF3"/>
    <w:rsid w:val="007F1928"/>
    <w:rsid w:val="007F392E"/>
    <w:rsid w:val="00811A1B"/>
    <w:rsid w:val="00814396"/>
    <w:rsid w:val="00814815"/>
    <w:rsid w:val="00824DED"/>
    <w:rsid w:val="00826E5A"/>
    <w:rsid w:val="0083713D"/>
    <w:rsid w:val="008424EF"/>
    <w:rsid w:val="008437B2"/>
    <w:rsid w:val="00843F1C"/>
    <w:rsid w:val="00844713"/>
    <w:rsid w:val="00850DCE"/>
    <w:rsid w:val="00851DF4"/>
    <w:rsid w:val="00853591"/>
    <w:rsid w:val="00854F74"/>
    <w:rsid w:val="00854FBB"/>
    <w:rsid w:val="00862B27"/>
    <w:rsid w:val="0086373E"/>
    <w:rsid w:val="008661BA"/>
    <w:rsid w:val="008671A6"/>
    <w:rsid w:val="00870902"/>
    <w:rsid w:val="00871CA8"/>
    <w:rsid w:val="00872E80"/>
    <w:rsid w:val="00882F81"/>
    <w:rsid w:val="00885004"/>
    <w:rsid w:val="00886B7B"/>
    <w:rsid w:val="0088790E"/>
    <w:rsid w:val="00887AB4"/>
    <w:rsid w:val="00894290"/>
    <w:rsid w:val="008A13B8"/>
    <w:rsid w:val="008A25A1"/>
    <w:rsid w:val="008B39B6"/>
    <w:rsid w:val="008C1AFD"/>
    <w:rsid w:val="008C4B67"/>
    <w:rsid w:val="008D1AEF"/>
    <w:rsid w:val="008D1CEA"/>
    <w:rsid w:val="008E48C2"/>
    <w:rsid w:val="008F2160"/>
    <w:rsid w:val="00905E86"/>
    <w:rsid w:val="009124E4"/>
    <w:rsid w:val="00917D0F"/>
    <w:rsid w:val="00924EA9"/>
    <w:rsid w:val="00925FA2"/>
    <w:rsid w:val="00926A9C"/>
    <w:rsid w:val="00927803"/>
    <w:rsid w:val="009453B3"/>
    <w:rsid w:val="00955F23"/>
    <w:rsid w:val="00957CD1"/>
    <w:rsid w:val="00961159"/>
    <w:rsid w:val="00961DB2"/>
    <w:rsid w:val="009664EA"/>
    <w:rsid w:val="0097292F"/>
    <w:rsid w:val="009741D9"/>
    <w:rsid w:val="00980CF9"/>
    <w:rsid w:val="00982CA4"/>
    <w:rsid w:val="00984235"/>
    <w:rsid w:val="00993D92"/>
    <w:rsid w:val="009A4D63"/>
    <w:rsid w:val="009A54FC"/>
    <w:rsid w:val="009B08C5"/>
    <w:rsid w:val="009B1E04"/>
    <w:rsid w:val="009B52C0"/>
    <w:rsid w:val="009C2167"/>
    <w:rsid w:val="009D46C1"/>
    <w:rsid w:val="009E0D02"/>
    <w:rsid w:val="009E4418"/>
    <w:rsid w:val="009E5838"/>
    <w:rsid w:val="00A0235E"/>
    <w:rsid w:val="00A04526"/>
    <w:rsid w:val="00A11704"/>
    <w:rsid w:val="00A11722"/>
    <w:rsid w:val="00A11840"/>
    <w:rsid w:val="00A22671"/>
    <w:rsid w:val="00A22C61"/>
    <w:rsid w:val="00A262E4"/>
    <w:rsid w:val="00A26EC3"/>
    <w:rsid w:val="00A300E0"/>
    <w:rsid w:val="00A34D97"/>
    <w:rsid w:val="00A359C7"/>
    <w:rsid w:val="00A41CF3"/>
    <w:rsid w:val="00A4674D"/>
    <w:rsid w:val="00A547CE"/>
    <w:rsid w:val="00A55FF3"/>
    <w:rsid w:val="00A603CE"/>
    <w:rsid w:val="00A64CF7"/>
    <w:rsid w:val="00A821EA"/>
    <w:rsid w:val="00A8721E"/>
    <w:rsid w:val="00A92495"/>
    <w:rsid w:val="00AA5160"/>
    <w:rsid w:val="00AA5899"/>
    <w:rsid w:val="00AB75A3"/>
    <w:rsid w:val="00AB7FC6"/>
    <w:rsid w:val="00AC05AE"/>
    <w:rsid w:val="00AD115D"/>
    <w:rsid w:val="00AD16AE"/>
    <w:rsid w:val="00AD1F94"/>
    <w:rsid w:val="00AD272D"/>
    <w:rsid w:val="00AD6C53"/>
    <w:rsid w:val="00AE72F4"/>
    <w:rsid w:val="00AE79F1"/>
    <w:rsid w:val="00AF02E2"/>
    <w:rsid w:val="00AF0A4B"/>
    <w:rsid w:val="00AF34F9"/>
    <w:rsid w:val="00AF3DB5"/>
    <w:rsid w:val="00AF4BBC"/>
    <w:rsid w:val="00AF65DE"/>
    <w:rsid w:val="00B00889"/>
    <w:rsid w:val="00B04278"/>
    <w:rsid w:val="00B12672"/>
    <w:rsid w:val="00B2434D"/>
    <w:rsid w:val="00B24D29"/>
    <w:rsid w:val="00B31608"/>
    <w:rsid w:val="00B34716"/>
    <w:rsid w:val="00B3707E"/>
    <w:rsid w:val="00B413E7"/>
    <w:rsid w:val="00B54DF3"/>
    <w:rsid w:val="00B61A13"/>
    <w:rsid w:val="00B6232D"/>
    <w:rsid w:val="00B648CA"/>
    <w:rsid w:val="00B73987"/>
    <w:rsid w:val="00B74894"/>
    <w:rsid w:val="00B749FB"/>
    <w:rsid w:val="00B75FF7"/>
    <w:rsid w:val="00B82B83"/>
    <w:rsid w:val="00B909F7"/>
    <w:rsid w:val="00B9175B"/>
    <w:rsid w:val="00B9467D"/>
    <w:rsid w:val="00B96A24"/>
    <w:rsid w:val="00BA677D"/>
    <w:rsid w:val="00BA6FDB"/>
    <w:rsid w:val="00BB02ED"/>
    <w:rsid w:val="00BB3CBF"/>
    <w:rsid w:val="00BB5132"/>
    <w:rsid w:val="00BC24E3"/>
    <w:rsid w:val="00BC31F9"/>
    <w:rsid w:val="00BC6F83"/>
    <w:rsid w:val="00BC704C"/>
    <w:rsid w:val="00BD34B4"/>
    <w:rsid w:val="00BF2C5D"/>
    <w:rsid w:val="00BF31E3"/>
    <w:rsid w:val="00BF5F1C"/>
    <w:rsid w:val="00C03018"/>
    <w:rsid w:val="00C07731"/>
    <w:rsid w:val="00C17E83"/>
    <w:rsid w:val="00C218A9"/>
    <w:rsid w:val="00C2366A"/>
    <w:rsid w:val="00C40BE6"/>
    <w:rsid w:val="00C47EE0"/>
    <w:rsid w:val="00C5330C"/>
    <w:rsid w:val="00C55022"/>
    <w:rsid w:val="00C63006"/>
    <w:rsid w:val="00C6348F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4181"/>
    <w:rsid w:val="00CB6D97"/>
    <w:rsid w:val="00CC09CE"/>
    <w:rsid w:val="00CE0C9D"/>
    <w:rsid w:val="00CE1E14"/>
    <w:rsid w:val="00D108F2"/>
    <w:rsid w:val="00D134C5"/>
    <w:rsid w:val="00D23CDC"/>
    <w:rsid w:val="00D26593"/>
    <w:rsid w:val="00D268EB"/>
    <w:rsid w:val="00D26CFF"/>
    <w:rsid w:val="00D274C6"/>
    <w:rsid w:val="00D446F1"/>
    <w:rsid w:val="00D456D8"/>
    <w:rsid w:val="00D45A0E"/>
    <w:rsid w:val="00D4758C"/>
    <w:rsid w:val="00D50169"/>
    <w:rsid w:val="00D51F0D"/>
    <w:rsid w:val="00D5391C"/>
    <w:rsid w:val="00D55FAB"/>
    <w:rsid w:val="00D56786"/>
    <w:rsid w:val="00D61EAB"/>
    <w:rsid w:val="00D701D3"/>
    <w:rsid w:val="00D7445F"/>
    <w:rsid w:val="00D91E8D"/>
    <w:rsid w:val="00D92B1D"/>
    <w:rsid w:val="00D952B8"/>
    <w:rsid w:val="00DA48B5"/>
    <w:rsid w:val="00DB0323"/>
    <w:rsid w:val="00DB1FA7"/>
    <w:rsid w:val="00DB3BFC"/>
    <w:rsid w:val="00DC0E31"/>
    <w:rsid w:val="00DC70D0"/>
    <w:rsid w:val="00DC7DD6"/>
    <w:rsid w:val="00DD3971"/>
    <w:rsid w:val="00DD4B25"/>
    <w:rsid w:val="00DE2372"/>
    <w:rsid w:val="00DE2A3F"/>
    <w:rsid w:val="00DF4D39"/>
    <w:rsid w:val="00DF5F45"/>
    <w:rsid w:val="00DF709D"/>
    <w:rsid w:val="00E037C9"/>
    <w:rsid w:val="00E03E65"/>
    <w:rsid w:val="00E13146"/>
    <w:rsid w:val="00E174FC"/>
    <w:rsid w:val="00E20070"/>
    <w:rsid w:val="00E20994"/>
    <w:rsid w:val="00E22124"/>
    <w:rsid w:val="00E261AD"/>
    <w:rsid w:val="00E320F0"/>
    <w:rsid w:val="00E324C0"/>
    <w:rsid w:val="00E40344"/>
    <w:rsid w:val="00E56C7E"/>
    <w:rsid w:val="00E576BD"/>
    <w:rsid w:val="00E57BE9"/>
    <w:rsid w:val="00E604D6"/>
    <w:rsid w:val="00E67086"/>
    <w:rsid w:val="00E77182"/>
    <w:rsid w:val="00E802E9"/>
    <w:rsid w:val="00E857E4"/>
    <w:rsid w:val="00E85B05"/>
    <w:rsid w:val="00E9139D"/>
    <w:rsid w:val="00E92487"/>
    <w:rsid w:val="00EA26E5"/>
    <w:rsid w:val="00EA3B02"/>
    <w:rsid w:val="00EA5A59"/>
    <w:rsid w:val="00EA6213"/>
    <w:rsid w:val="00EB032A"/>
    <w:rsid w:val="00EB0B67"/>
    <w:rsid w:val="00EB0C39"/>
    <w:rsid w:val="00EB3301"/>
    <w:rsid w:val="00EB3FA7"/>
    <w:rsid w:val="00EB43C4"/>
    <w:rsid w:val="00EE2068"/>
    <w:rsid w:val="00EE4A18"/>
    <w:rsid w:val="00EF0F1F"/>
    <w:rsid w:val="00EF1F69"/>
    <w:rsid w:val="00EF61D1"/>
    <w:rsid w:val="00EF7055"/>
    <w:rsid w:val="00F05333"/>
    <w:rsid w:val="00F154D0"/>
    <w:rsid w:val="00F22D8E"/>
    <w:rsid w:val="00F260FC"/>
    <w:rsid w:val="00F261D6"/>
    <w:rsid w:val="00F26D45"/>
    <w:rsid w:val="00F30C84"/>
    <w:rsid w:val="00F35704"/>
    <w:rsid w:val="00F35911"/>
    <w:rsid w:val="00F35DD7"/>
    <w:rsid w:val="00F378C4"/>
    <w:rsid w:val="00F42D43"/>
    <w:rsid w:val="00F519FE"/>
    <w:rsid w:val="00F57965"/>
    <w:rsid w:val="00F71810"/>
    <w:rsid w:val="00F72ABE"/>
    <w:rsid w:val="00F72B1B"/>
    <w:rsid w:val="00F73D92"/>
    <w:rsid w:val="00F7504D"/>
    <w:rsid w:val="00F7596C"/>
    <w:rsid w:val="00F76E4D"/>
    <w:rsid w:val="00F77E12"/>
    <w:rsid w:val="00F814DE"/>
    <w:rsid w:val="00F90045"/>
    <w:rsid w:val="00F925FE"/>
    <w:rsid w:val="00FA0472"/>
    <w:rsid w:val="00FA28D1"/>
    <w:rsid w:val="00FA6558"/>
    <w:rsid w:val="00FB2665"/>
    <w:rsid w:val="00FB4D8F"/>
    <w:rsid w:val="00FB71EE"/>
    <w:rsid w:val="00FD2814"/>
    <w:rsid w:val="00FD489B"/>
    <w:rsid w:val="00FD530D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584E3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35"/>
    <w:rsid w:val="008D1CEA"/>
    <w:rPr>
      <w:rFonts w:ascii="Times New Roman" w:eastAsia="Times New Roman" w:hAnsi="Times New Roman"/>
      <w:b/>
      <w:bCs/>
      <w:sz w:val="22"/>
      <w:lang w:val="en-GB" w:eastAsia="zh-CN"/>
    </w:rPr>
  </w:style>
  <w:style w:type="character" w:styleId="Strong">
    <w:name w:val="Strong"/>
    <w:uiPriority w:val="22"/>
    <w:qFormat/>
    <w:rsid w:val="00870902"/>
    <w:rPr>
      <w:b/>
      <w:bCs/>
    </w:rPr>
  </w:style>
  <w:style w:type="paragraph" w:styleId="BodyText">
    <w:name w:val="Body Text"/>
    <w:aliases w:val="bt"/>
    <w:basedOn w:val="Normal"/>
    <w:link w:val="BodyTextChar"/>
    <w:qFormat/>
    <w:rsid w:val="00DE2372"/>
    <w:pPr>
      <w:spacing w:before="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DE2372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B5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cid:image005.png@01D3944D.5F4730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21E66-16E4-46C8-B4F4-FF4B656A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8737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Milap Majmundar</cp:lastModifiedBy>
  <cp:revision>45</cp:revision>
  <cp:lastPrinted>2016-02-23T14:51:00Z</cp:lastPrinted>
  <dcterms:created xsi:type="dcterms:W3CDTF">2021-10-01T21:53:00Z</dcterms:created>
  <dcterms:modified xsi:type="dcterms:W3CDTF">2021-10-21T21:49:00Z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